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double" w:sz="4" w:space="0" w:color="000080"/>
          <w:left w:val="double" w:sz="4" w:space="0" w:color="000080"/>
          <w:bottom w:val="double" w:sz="4" w:space="0" w:color="000080"/>
          <w:right w:val="double" w:sz="4" w:space="0" w:color="000080"/>
        </w:tblBorders>
        <w:tblLook w:val="01E0"/>
      </w:tblPr>
      <w:tblGrid>
        <w:gridCol w:w="2676"/>
        <w:gridCol w:w="7745"/>
      </w:tblGrid>
      <w:tr w:rsidR="002E6A20" w:rsidRPr="003B69DA" w:rsidTr="003B69DA">
        <w:tc>
          <w:tcPr>
            <w:tcW w:w="2268" w:type="dxa"/>
            <w:vMerge w:val="restart"/>
          </w:tcPr>
          <w:p w:rsidR="002E6A20" w:rsidRPr="003B69DA" w:rsidRDefault="00B856FE" w:rsidP="003B69DA">
            <w:pPr>
              <w:spacing w:before="120" w:after="120"/>
              <w:rPr>
                <w:rFonts w:ascii="Arial" w:hAnsi="Arial" w:cs="Arial"/>
                <w:lang w:val="en-GB"/>
              </w:rPr>
            </w:pPr>
            <w:r>
              <w:rPr>
                <w:rFonts w:ascii="Arial" w:hAnsi="Arial" w:cs="Arial"/>
                <w:noProof/>
                <w:lang w:val="en-US"/>
              </w:rPr>
              <w:drawing>
                <wp:inline distT="0" distB="0" distL="0" distR="0">
                  <wp:extent cx="1533525" cy="552450"/>
                  <wp:effectExtent l="19050" t="0" r="9525" b="0"/>
                  <wp:docPr id="1" name="Picture 1" descr="MVM teg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VM teget"/>
                          <pic:cNvPicPr>
                            <a:picLocks noChangeAspect="1" noChangeArrowheads="1"/>
                          </pic:cNvPicPr>
                        </pic:nvPicPr>
                        <pic:blipFill>
                          <a:blip r:embed="rId8" cstate="print"/>
                          <a:srcRect/>
                          <a:stretch>
                            <a:fillRect/>
                          </a:stretch>
                        </pic:blipFill>
                        <pic:spPr bwMode="auto">
                          <a:xfrm>
                            <a:off x="0" y="0"/>
                            <a:ext cx="1533525" cy="552450"/>
                          </a:xfrm>
                          <a:prstGeom prst="rect">
                            <a:avLst/>
                          </a:prstGeom>
                          <a:noFill/>
                          <a:ln w="9525">
                            <a:noFill/>
                            <a:miter lim="800000"/>
                            <a:headEnd/>
                            <a:tailEnd/>
                          </a:ln>
                        </pic:spPr>
                      </pic:pic>
                    </a:graphicData>
                  </a:graphic>
                </wp:inline>
              </w:drawing>
            </w:r>
          </w:p>
        </w:tc>
        <w:tc>
          <w:tcPr>
            <w:tcW w:w="8153" w:type="dxa"/>
          </w:tcPr>
          <w:p w:rsidR="002E6A20" w:rsidRPr="003B69DA" w:rsidRDefault="002E6A20" w:rsidP="00B856FE">
            <w:pPr>
              <w:spacing w:before="120" w:after="120"/>
              <w:jc w:val="right"/>
              <w:rPr>
                <w:rFonts w:ascii="Arial" w:hAnsi="Arial" w:cs="Arial"/>
                <w:b/>
                <w:color w:val="000080"/>
                <w:sz w:val="28"/>
                <w:szCs w:val="28"/>
                <w:lang w:val="en-GB"/>
              </w:rPr>
            </w:pPr>
            <w:r w:rsidRPr="003B69DA">
              <w:rPr>
                <w:rFonts w:ascii="Arial" w:hAnsi="Arial" w:cs="Arial"/>
                <w:b/>
                <w:color w:val="000080"/>
                <w:sz w:val="28"/>
                <w:szCs w:val="28"/>
                <w:lang w:val="en-GB"/>
              </w:rPr>
              <w:t xml:space="preserve">International Congress </w:t>
            </w:r>
            <w:r w:rsidRPr="003B69DA">
              <w:rPr>
                <w:rFonts w:ascii="Arial" w:hAnsi="Arial" w:cs="Arial"/>
                <w:b/>
                <w:color w:val="A50021"/>
                <w:sz w:val="28"/>
                <w:szCs w:val="28"/>
                <w:lang w:val="en-GB"/>
              </w:rPr>
              <w:t>M</w:t>
            </w:r>
            <w:r w:rsidRPr="003B69DA">
              <w:rPr>
                <w:rFonts w:ascii="Arial" w:hAnsi="Arial" w:cs="Arial"/>
                <w:b/>
                <w:color w:val="000080"/>
                <w:sz w:val="28"/>
                <w:szCs w:val="28"/>
                <w:lang w:val="en-GB"/>
              </w:rPr>
              <w:t xml:space="preserve">otor </w:t>
            </w:r>
            <w:r w:rsidRPr="003B69DA">
              <w:rPr>
                <w:rFonts w:ascii="Arial" w:hAnsi="Arial" w:cs="Arial"/>
                <w:b/>
                <w:color w:val="A50021"/>
                <w:sz w:val="28"/>
                <w:szCs w:val="28"/>
                <w:lang w:val="en-GB"/>
              </w:rPr>
              <w:t>V</w:t>
            </w:r>
            <w:r w:rsidRPr="003B69DA">
              <w:rPr>
                <w:rFonts w:ascii="Arial" w:hAnsi="Arial" w:cs="Arial"/>
                <w:b/>
                <w:color w:val="000080"/>
                <w:sz w:val="28"/>
                <w:szCs w:val="28"/>
                <w:lang w:val="en-GB"/>
              </w:rPr>
              <w:t xml:space="preserve">ehicles &amp; </w:t>
            </w:r>
            <w:r w:rsidRPr="003B69DA">
              <w:rPr>
                <w:rFonts w:ascii="Arial" w:hAnsi="Arial" w:cs="Arial"/>
                <w:b/>
                <w:color w:val="A50021"/>
                <w:sz w:val="28"/>
                <w:szCs w:val="28"/>
                <w:lang w:val="en-GB"/>
              </w:rPr>
              <w:t>M</w:t>
            </w:r>
            <w:r w:rsidRPr="003B69DA">
              <w:rPr>
                <w:rFonts w:ascii="Arial" w:hAnsi="Arial" w:cs="Arial"/>
                <w:b/>
                <w:color w:val="000080"/>
                <w:sz w:val="28"/>
                <w:szCs w:val="28"/>
                <w:lang w:val="en-GB"/>
              </w:rPr>
              <w:t xml:space="preserve">otors </w:t>
            </w:r>
            <w:r w:rsidRPr="003B69DA">
              <w:rPr>
                <w:rFonts w:ascii="Arial" w:hAnsi="Arial" w:cs="Arial"/>
                <w:b/>
                <w:color w:val="A50021"/>
                <w:sz w:val="28"/>
                <w:szCs w:val="28"/>
                <w:lang w:val="en-GB"/>
              </w:rPr>
              <w:t>20</w:t>
            </w:r>
            <w:r w:rsidR="00CD54E3" w:rsidRPr="003B69DA">
              <w:rPr>
                <w:rFonts w:ascii="Arial" w:hAnsi="Arial" w:cs="Arial"/>
                <w:b/>
                <w:color w:val="A50021"/>
                <w:sz w:val="28"/>
                <w:szCs w:val="28"/>
                <w:lang w:val="en-GB"/>
              </w:rPr>
              <w:t>1</w:t>
            </w:r>
            <w:r w:rsidR="00B856FE">
              <w:rPr>
                <w:rFonts w:ascii="Arial" w:hAnsi="Arial" w:cs="Arial"/>
                <w:b/>
                <w:color w:val="A50021"/>
                <w:sz w:val="28"/>
                <w:szCs w:val="28"/>
                <w:lang w:val="en-GB"/>
              </w:rPr>
              <w:t>4</w:t>
            </w:r>
          </w:p>
        </w:tc>
      </w:tr>
      <w:tr w:rsidR="002E6A20" w:rsidRPr="003B69DA" w:rsidTr="003B69DA">
        <w:tc>
          <w:tcPr>
            <w:tcW w:w="2268" w:type="dxa"/>
            <w:vMerge/>
          </w:tcPr>
          <w:p w:rsidR="002E6A20" w:rsidRPr="003B69DA" w:rsidRDefault="002E6A20" w:rsidP="002E6A20">
            <w:pPr>
              <w:rPr>
                <w:rFonts w:ascii="Arial" w:hAnsi="Arial" w:cs="Arial"/>
                <w:lang w:val="en-GB"/>
              </w:rPr>
            </w:pPr>
          </w:p>
        </w:tc>
        <w:tc>
          <w:tcPr>
            <w:tcW w:w="8153" w:type="dxa"/>
            <w:vAlign w:val="bottom"/>
          </w:tcPr>
          <w:p w:rsidR="002E6A20" w:rsidRPr="003B69DA" w:rsidRDefault="002E6A20" w:rsidP="00D43EED">
            <w:pPr>
              <w:spacing w:before="120" w:after="120"/>
              <w:jc w:val="right"/>
              <w:rPr>
                <w:rFonts w:ascii="Arial" w:hAnsi="Arial" w:cs="Arial"/>
                <w:i/>
                <w:color w:val="000080"/>
                <w:sz w:val="20"/>
                <w:szCs w:val="20"/>
                <w:lang w:val="en-GB"/>
              </w:rPr>
            </w:pPr>
            <w:r w:rsidRPr="003B69DA">
              <w:rPr>
                <w:rFonts w:ascii="Arial" w:hAnsi="Arial" w:cs="Arial"/>
                <w:i/>
                <w:color w:val="000080"/>
                <w:sz w:val="20"/>
                <w:szCs w:val="20"/>
                <w:lang w:val="en-GB"/>
              </w:rPr>
              <w:t xml:space="preserve">Kragujevac, October </w:t>
            </w:r>
            <w:r w:rsidR="00D43EED">
              <w:rPr>
                <w:rFonts w:ascii="Arial" w:hAnsi="Arial" w:cs="Arial"/>
                <w:i/>
                <w:color w:val="000080"/>
                <w:sz w:val="20"/>
                <w:szCs w:val="20"/>
                <w:lang w:val="en-GB"/>
              </w:rPr>
              <w:t>09</w:t>
            </w:r>
            <w:r w:rsidR="00035F38" w:rsidRPr="003B69DA">
              <w:rPr>
                <w:rFonts w:ascii="Arial" w:hAnsi="Arial" w:cs="Arial"/>
                <w:i/>
                <w:color w:val="000080"/>
                <w:sz w:val="20"/>
                <w:szCs w:val="20"/>
                <w:vertAlign w:val="superscript"/>
                <w:lang w:val="en-GB"/>
              </w:rPr>
              <w:t>rd</w:t>
            </w:r>
            <w:r w:rsidRPr="003B69DA">
              <w:rPr>
                <w:rFonts w:ascii="Arial" w:hAnsi="Arial" w:cs="Arial"/>
                <w:i/>
                <w:color w:val="000080"/>
                <w:sz w:val="20"/>
                <w:szCs w:val="20"/>
                <w:lang w:val="en-GB"/>
              </w:rPr>
              <w:t>-</w:t>
            </w:r>
            <w:r w:rsidR="00B856FE">
              <w:rPr>
                <w:rFonts w:ascii="Arial" w:hAnsi="Arial" w:cs="Arial"/>
                <w:i/>
                <w:color w:val="000080"/>
                <w:sz w:val="20"/>
                <w:szCs w:val="20"/>
                <w:lang w:val="en-GB"/>
              </w:rPr>
              <w:t>10</w:t>
            </w:r>
            <w:r w:rsidRPr="003B69DA">
              <w:rPr>
                <w:rFonts w:ascii="Arial" w:hAnsi="Arial" w:cs="Arial"/>
                <w:i/>
                <w:color w:val="000080"/>
                <w:sz w:val="20"/>
                <w:szCs w:val="20"/>
                <w:vertAlign w:val="superscript"/>
                <w:lang w:val="en-GB"/>
              </w:rPr>
              <w:t>th</w:t>
            </w:r>
            <w:r w:rsidRPr="003B69DA">
              <w:rPr>
                <w:rFonts w:ascii="Arial" w:hAnsi="Arial" w:cs="Arial"/>
                <w:i/>
                <w:color w:val="000080"/>
                <w:sz w:val="20"/>
                <w:szCs w:val="20"/>
                <w:lang w:val="en-GB"/>
              </w:rPr>
              <w:t>, 20</w:t>
            </w:r>
            <w:r w:rsidR="00CD54E3" w:rsidRPr="003B69DA">
              <w:rPr>
                <w:rFonts w:ascii="Arial" w:hAnsi="Arial" w:cs="Arial"/>
                <w:i/>
                <w:color w:val="000080"/>
                <w:sz w:val="20"/>
                <w:szCs w:val="20"/>
                <w:lang w:val="en-GB"/>
              </w:rPr>
              <w:t>1</w:t>
            </w:r>
            <w:r w:rsidR="00B856FE">
              <w:rPr>
                <w:rFonts w:ascii="Arial" w:hAnsi="Arial" w:cs="Arial"/>
                <w:i/>
                <w:color w:val="000080"/>
                <w:sz w:val="20"/>
                <w:szCs w:val="20"/>
                <w:lang w:val="en-GB"/>
              </w:rPr>
              <w:t>4</w:t>
            </w:r>
          </w:p>
        </w:tc>
      </w:tr>
    </w:tbl>
    <w:p w:rsidR="0017072E" w:rsidRPr="00F90B6D" w:rsidRDefault="0017072E">
      <w:pPr>
        <w:rPr>
          <w:rFonts w:ascii="Arial" w:hAnsi="Arial" w:cs="Arial"/>
          <w:lang w:val="en-GB"/>
        </w:rPr>
      </w:pPr>
    </w:p>
    <w:p w:rsidR="00DA08B6" w:rsidRPr="00F90B6D" w:rsidRDefault="00824033" w:rsidP="008C4AC2">
      <w:pPr>
        <w:pStyle w:val="PaperNumber"/>
      </w:pPr>
      <w:r w:rsidRPr="00F90B6D">
        <w:t>MVM20</w:t>
      </w:r>
      <w:r w:rsidR="00CD54E3">
        <w:t>1</w:t>
      </w:r>
      <w:r w:rsidR="00B856FE">
        <w:t>4</w:t>
      </w:r>
      <w:r w:rsidR="00CD54E3">
        <w:t>-</w:t>
      </w:r>
      <w:r w:rsidRPr="00F90B6D">
        <w:t>NNN</w:t>
      </w:r>
    </w:p>
    <w:p w:rsidR="00DA08B6" w:rsidRPr="00F90B6D" w:rsidRDefault="00DA08B6" w:rsidP="00DA08B6">
      <w:pPr>
        <w:rPr>
          <w:rFonts w:ascii="Arial" w:hAnsi="Arial" w:cs="Arial"/>
          <w:b/>
          <w:sz w:val="28"/>
          <w:szCs w:val="28"/>
          <w:lang w:val="en-GB"/>
        </w:rPr>
      </w:pPr>
    </w:p>
    <w:p w:rsidR="0097163D" w:rsidRDefault="0097163D" w:rsidP="00DA08B6">
      <w:pPr>
        <w:rPr>
          <w:rStyle w:val="Authorsname"/>
          <w:rFonts w:ascii="Arial" w:hAnsi="Arial" w:cs="Arial"/>
          <w:b/>
          <w:sz w:val="28"/>
          <w:szCs w:val="28"/>
          <w:lang w:val="sl-SI"/>
        </w:rPr>
      </w:pPr>
      <w:r>
        <w:rPr>
          <w:rStyle w:val="Authorsname"/>
          <w:rFonts w:ascii="Arial" w:hAnsi="Arial" w:cs="Arial"/>
          <w:b/>
          <w:sz w:val="28"/>
          <w:szCs w:val="28"/>
          <w:lang w:val="sl-SI"/>
        </w:rPr>
        <w:t>Gordana Mrdak</w:t>
      </w:r>
      <w:r w:rsidRPr="00FC08C4">
        <w:rPr>
          <w:rStyle w:val="Authorsname"/>
          <w:rFonts w:ascii="Arial" w:hAnsi="Arial" w:cs="Arial"/>
          <w:b/>
          <w:sz w:val="28"/>
          <w:szCs w:val="28"/>
          <w:vertAlign w:val="superscript"/>
        </w:rPr>
        <w:footnoteReference w:id="1"/>
      </w:r>
    </w:p>
    <w:p w:rsidR="00914A2E" w:rsidRPr="00F90B6D" w:rsidRDefault="008F1C90" w:rsidP="001E2CF2">
      <w:pPr>
        <w:rPr>
          <w:lang w:val="en-GB"/>
        </w:rPr>
      </w:pPr>
      <w:r w:rsidRPr="008F1C90">
        <w:rPr>
          <w:rFonts w:ascii="Arial" w:hAnsi="Arial" w:cs="Arial"/>
          <w:b/>
          <w:sz w:val="28"/>
          <w:szCs w:val="28"/>
        </w:rPr>
        <w:t>Milos Nikolic</w:t>
      </w:r>
      <w:r w:rsidRPr="00FC08C4">
        <w:rPr>
          <w:rStyle w:val="Authorsname"/>
          <w:rFonts w:ascii="Arial" w:hAnsi="Arial" w:cs="Arial"/>
          <w:b/>
          <w:sz w:val="28"/>
          <w:szCs w:val="28"/>
          <w:vertAlign w:val="superscript"/>
        </w:rPr>
        <w:footnoteReference w:id="2"/>
      </w:r>
      <w:r>
        <w:rPr>
          <w:rFonts w:ascii="Arial" w:hAnsi="Arial" w:cs="Arial"/>
          <w:b/>
          <w:sz w:val="28"/>
          <w:szCs w:val="28"/>
        </w:rPr>
        <w:t xml:space="preserve">, </w:t>
      </w:r>
      <w:r w:rsidR="00FC08C4" w:rsidRPr="00FC08C4">
        <w:rPr>
          <w:rStyle w:val="Authorsname"/>
          <w:rFonts w:ascii="Arial" w:hAnsi="Arial" w:cs="Arial"/>
          <w:b/>
          <w:sz w:val="28"/>
          <w:szCs w:val="28"/>
          <w:lang w:val="sl-SI"/>
        </w:rPr>
        <w:t>Božidar V. Krstić</w:t>
      </w:r>
      <w:r w:rsidR="00FC08C4" w:rsidRPr="00FC08C4">
        <w:rPr>
          <w:rStyle w:val="Authorsname"/>
          <w:rFonts w:ascii="Arial" w:hAnsi="Arial" w:cs="Arial"/>
          <w:b/>
          <w:sz w:val="28"/>
          <w:szCs w:val="28"/>
          <w:vertAlign w:val="superscript"/>
        </w:rPr>
        <w:footnoteReference w:id="3"/>
      </w:r>
    </w:p>
    <w:p w:rsidR="00815758" w:rsidRPr="00815758" w:rsidRDefault="00815758" w:rsidP="004D2139">
      <w:pPr>
        <w:pStyle w:val="Heading1"/>
        <w:jc w:val="center"/>
        <w:rPr>
          <w:sz w:val="36"/>
          <w:szCs w:val="36"/>
        </w:rPr>
      </w:pPr>
      <w:r w:rsidRPr="00815758">
        <w:rPr>
          <w:sz w:val="36"/>
          <w:szCs w:val="36"/>
        </w:rPr>
        <w:t xml:space="preserve">POLITICS OF TRANSITION AND DEVELOPMENT STRATEGY </w:t>
      </w:r>
    </w:p>
    <w:p w:rsidR="00824033" w:rsidRPr="00F90B6D" w:rsidRDefault="00824033" w:rsidP="00E4455B">
      <w:pPr>
        <w:pStyle w:val="Textbody"/>
        <w:rPr>
          <w:lang w:val="en-GB"/>
        </w:rPr>
      </w:pPr>
    </w:p>
    <w:p w:rsidR="00914A2E" w:rsidRPr="00F90B6D" w:rsidRDefault="00914A2E" w:rsidP="00E4455B">
      <w:pPr>
        <w:pStyle w:val="Textbody"/>
        <w:rPr>
          <w:lang w:val="en-GB"/>
        </w:rPr>
      </w:pPr>
    </w:p>
    <w:p w:rsidR="00A717EF" w:rsidRPr="00B03B70" w:rsidRDefault="00F818D5" w:rsidP="00A717EF">
      <w:pPr>
        <w:jc w:val="both"/>
        <w:rPr>
          <w:rFonts w:ascii="Arial" w:hAnsi="Arial" w:cs="Arial"/>
          <w:sz w:val="20"/>
          <w:szCs w:val="20"/>
        </w:rPr>
      </w:pPr>
      <w:r w:rsidRPr="00F90B6D">
        <w:rPr>
          <w:rStyle w:val="AbstractandKeywordsChar"/>
          <w:lang w:val="en-GB"/>
        </w:rPr>
        <w:t>A</w:t>
      </w:r>
      <w:r w:rsidR="00BB7F00" w:rsidRPr="00F90B6D">
        <w:rPr>
          <w:rStyle w:val="AbstractandKeywordsChar"/>
          <w:lang w:val="en-GB"/>
        </w:rPr>
        <w:t>BSTRACT</w:t>
      </w:r>
      <w:r w:rsidRPr="00F90B6D">
        <w:rPr>
          <w:rStyle w:val="AbstractandKeywordsChar"/>
          <w:lang w:val="en-GB"/>
        </w:rPr>
        <w:t xml:space="preserve">: </w:t>
      </w:r>
      <w:r w:rsidR="00A717EF" w:rsidRPr="00B03B70">
        <w:rPr>
          <w:rFonts w:ascii="Arial" w:hAnsi="Arial" w:cs="Arial"/>
          <w:sz w:val="20"/>
          <w:szCs w:val="20"/>
        </w:rPr>
        <w:t xml:space="preserve">The transition consists of a large number of activities at the macroeconomic level, to be undertaken with the aim of moving from one type of economy to another. Changes are inevitable and at the microeconomic level, in the form of autonomy in production, cessation of central planning, markets, trade liberalization and the like. </w:t>
      </w:r>
    </w:p>
    <w:p w:rsidR="00A717EF" w:rsidRDefault="00A717EF" w:rsidP="00A717EF">
      <w:pPr>
        <w:jc w:val="both"/>
        <w:rPr>
          <w:rFonts w:ascii="Arial" w:hAnsi="Arial" w:cs="Arial"/>
          <w:sz w:val="20"/>
          <w:szCs w:val="20"/>
        </w:rPr>
      </w:pPr>
      <w:r>
        <w:rPr>
          <w:rFonts w:ascii="Arial" w:hAnsi="Arial" w:cs="Arial"/>
          <w:sz w:val="20"/>
          <w:szCs w:val="20"/>
        </w:rPr>
        <w:tab/>
      </w:r>
      <w:r w:rsidRPr="00B03B70">
        <w:rPr>
          <w:rFonts w:ascii="Arial" w:hAnsi="Arial" w:cs="Arial"/>
          <w:sz w:val="20"/>
          <w:szCs w:val="20"/>
        </w:rPr>
        <w:t xml:space="preserve">Goal of transition is to create conditions for a market economy, which means great sacrifices in the short term and increase the overall economic efficiency to a higher level where as a result of improved living standards. </w:t>
      </w:r>
    </w:p>
    <w:p w:rsidR="00A717EF" w:rsidRPr="00A717EF" w:rsidRDefault="00E4455B" w:rsidP="00A717EF">
      <w:pPr>
        <w:tabs>
          <w:tab w:val="left" w:pos="1843"/>
        </w:tabs>
        <w:jc w:val="both"/>
        <w:rPr>
          <w:rFonts w:ascii="Arial" w:hAnsi="Arial" w:cs="Arial"/>
          <w:i/>
          <w:sz w:val="18"/>
          <w:szCs w:val="18"/>
        </w:rPr>
      </w:pPr>
      <w:r w:rsidRPr="00F90B6D">
        <w:rPr>
          <w:rStyle w:val="AbstractandKeywordsChar"/>
          <w:lang w:val="en-GB"/>
        </w:rPr>
        <w:t>K</w:t>
      </w:r>
      <w:r w:rsidR="00BB7F00" w:rsidRPr="00F90B6D">
        <w:rPr>
          <w:rStyle w:val="AbstractandKeywordsChar"/>
          <w:lang w:val="en-GB"/>
        </w:rPr>
        <w:t>EYWORDS</w:t>
      </w:r>
      <w:r w:rsidRPr="00F90B6D">
        <w:rPr>
          <w:rStyle w:val="AbstractandKeywordsChar"/>
          <w:lang w:val="en-GB"/>
        </w:rPr>
        <w:t>:</w:t>
      </w:r>
      <w:r w:rsidR="005A1B3F" w:rsidRPr="00F90B6D">
        <w:rPr>
          <w:lang w:val="en-GB"/>
        </w:rPr>
        <w:t xml:space="preserve"> </w:t>
      </w:r>
      <w:r w:rsidR="00A717EF" w:rsidRPr="00A717EF">
        <w:rPr>
          <w:rFonts w:ascii="Arial" w:hAnsi="Arial" w:cs="Arial"/>
          <w:i/>
          <w:sz w:val="18"/>
          <w:szCs w:val="18"/>
        </w:rPr>
        <w:t>Macroeconomic Stabilization, liberalization of prices, indicators of economic      development.</w:t>
      </w:r>
    </w:p>
    <w:p w:rsidR="00BB7F00" w:rsidRPr="00F90B6D" w:rsidRDefault="00BB7F00" w:rsidP="00BB7F00">
      <w:pPr>
        <w:pStyle w:val="Heading1"/>
        <w:rPr>
          <w:lang w:val="en-GB"/>
        </w:rPr>
      </w:pPr>
      <w:r w:rsidRPr="00F90B6D">
        <w:rPr>
          <w:lang w:val="en-GB"/>
        </w:rPr>
        <w:t>INTRODUCTION</w:t>
      </w:r>
    </w:p>
    <w:p w:rsidR="00B268A5" w:rsidRDefault="00B268A5" w:rsidP="00B268A5">
      <w:pPr>
        <w:jc w:val="both"/>
        <w:rPr>
          <w:rFonts w:ascii="Arial" w:hAnsi="Arial" w:cs="Arial"/>
          <w:sz w:val="20"/>
          <w:szCs w:val="20"/>
        </w:rPr>
      </w:pPr>
      <w:r w:rsidRPr="00480757">
        <w:rPr>
          <w:rFonts w:ascii="Arial" w:hAnsi="Arial" w:cs="Arial"/>
          <w:sz w:val="20"/>
          <w:szCs w:val="20"/>
        </w:rPr>
        <w:t>The transition process is performed by the inevitability that involves setting up new egzistencionalnih basis, which enables higher functionality of the entire system. Entering the transition of a decline in the level of GDP and extinguished many companies because their products are not competitive. It takes some time for the economy reaches the level of production of the gross domestic product generated at the beginning of the transition.</w:t>
      </w:r>
    </w:p>
    <w:p w:rsidR="00B268A5" w:rsidRPr="00480757" w:rsidRDefault="00B268A5" w:rsidP="00B268A5">
      <w:pPr>
        <w:jc w:val="both"/>
        <w:rPr>
          <w:rFonts w:ascii="Arial" w:hAnsi="Arial" w:cs="Arial"/>
          <w:sz w:val="20"/>
          <w:szCs w:val="20"/>
        </w:rPr>
      </w:pPr>
      <w:r>
        <w:rPr>
          <w:rFonts w:ascii="Arial" w:hAnsi="Arial" w:cs="Arial"/>
          <w:sz w:val="20"/>
          <w:szCs w:val="20"/>
        </w:rPr>
        <w:tab/>
      </w:r>
      <w:r w:rsidRPr="00480757">
        <w:rPr>
          <w:rFonts w:ascii="Arial" w:hAnsi="Arial" w:cs="Arial"/>
          <w:sz w:val="20"/>
          <w:szCs w:val="20"/>
        </w:rPr>
        <w:t>Among the countries in transition, there are differences that are opting their reform processes relating to the width of macroeconomic delalansa, the degree of decentralization of economic management and the scope of activities of the private sector prior to the reforms. Internal macroeconomic imbalances in post-socialist economies appears in various forms of which are usually open to high inflation. The external imbalance is expressed growing indebtedness economy as economies was the only way to relieve internal deficits and imbalances.</w:t>
      </w:r>
    </w:p>
    <w:p w:rsidR="00B268A5" w:rsidRPr="00B03B70" w:rsidRDefault="00B268A5" w:rsidP="00B268A5">
      <w:pPr>
        <w:pStyle w:val="Heading1"/>
      </w:pPr>
      <w:r w:rsidRPr="00B03B70">
        <w:t xml:space="preserve">FIRST TRANSITION PROCESS AND POLITICS OF TRANSITION </w:t>
      </w:r>
    </w:p>
    <w:p w:rsidR="00B268A5" w:rsidRPr="003059AB" w:rsidRDefault="00B268A5" w:rsidP="00B268A5">
      <w:pPr>
        <w:jc w:val="both"/>
        <w:rPr>
          <w:rFonts w:ascii="Arial" w:hAnsi="Arial" w:cs="Arial"/>
          <w:i/>
          <w:sz w:val="20"/>
          <w:szCs w:val="20"/>
        </w:rPr>
      </w:pPr>
      <w:r w:rsidRPr="003059AB">
        <w:rPr>
          <w:rFonts w:ascii="Arial" w:hAnsi="Arial" w:cs="Arial"/>
          <w:sz w:val="20"/>
          <w:szCs w:val="20"/>
        </w:rPr>
        <w:t>One of the activities</w:t>
      </w:r>
      <w:r w:rsidRPr="00B03B70">
        <w:rPr>
          <w:rFonts w:ascii="Arial" w:hAnsi="Arial" w:cs="Arial"/>
          <w:sz w:val="20"/>
          <w:szCs w:val="20"/>
        </w:rPr>
        <w:t xml:space="preserve"> program to be carried out after the fiscal and monetary stabilization is price liberalization, which should be implemented at the beginning of the transition, because in the later stages led to rising prices and rising inflation. In order to develop a competitive market, it is necessary to develop additional measures in the transport, distribution and tr</w:t>
      </w:r>
      <w:bookmarkStart w:id="0" w:name="_GoBack"/>
      <w:bookmarkEnd w:id="0"/>
      <w:r w:rsidRPr="00B03B70">
        <w:rPr>
          <w:rFonts w:ascii="Arial" w:hAnsi="Arial" w:cs="Arial"/>
          <w:sz w:val="20"/>
          <w:szCs w:val="20"/>
        </w:rPr>
        <w:t xml:space="preserve">ade. Nobody has invented the market, but it works very effectively. Rational price system as a system of world prices is necessary because it would economy opened to foreign trade. Policy of free trade domestic producers are exposed to foreign competition and opens the possibility of a faster increase in quality over many arrangements joint ventures with foreign companies. </w:t>
      </w:r>
    </w:p>
    <w:p w:rsidR="00B268A5" w:rsidRPr="00B03B70" w:rsidRDefault="00B268A5" w:rsidP="00B268A5">
      <w:pPr>
        <w:jc w:val="both"/>
        <w:rPr>
          <w:rFonts w:ascii="Arial" w:hAnsi="Arial" w:cs="Arial"/>
          <w:sz w:val="20"/>
          <w:szCs w:val="20"/>
        </w:rPr>
      </w:pPr>
      <w:r>
        <w:rPr>
          <w:rFonts w:ascii="Arial" w:hAnsi="Arial" w:cs="Arial"/>
          <w:sz w:val="20"/>
          <w:szCs w:val="20"/>
        </w:rPr>
        <w:tab/>
      </w:r>
      <w:r w:rsidRPr="00B03B70">
        <w:rPr>
          <w:rFonts w:ascii="Arial" w:hAnsi="Arial" w:cs="Arial"/>
          <w:sz w:val="20"/>
          <w:szCs w:val="20"/>
        </w:rPr>
        <w:t xml:space="preserve">Trade liberalization can be realized only through a political decision at a time when other reform activities are carried out through an evolutionary process. The country is considered to be open to foreign trade if the national economic entities happiness with less restrictions on the way out to the international market and also overseas in entering the national market. Sudden liberalization forces firms to restructure and adopt global standards of quality, but the countries in transition still prepočuje gradual liberalization where some of the branches were subsidized or be protected from foreign competition. </w:t>
      </w:r>
    </w:p>
    <w:p w:rsidR="00B268A5" w:rsidRDefault="00B268A5" w:rsidP="00B268A5">
      <w:pPr>
        <w:jc w:val="both"/>
        <w:rPr>
          <w:rFonts w:ascii="Arial" w:hAnsi="Arial" w:cs="Arial"/>
          <w:sz w:val="20"/>
          <w:szCs w:val="20"/>
        </w:rPr>
      </w:pPr>
      <w:r>
        <w:rPr>
          <w:rFonts w:ascii="Arial" w:hAnsi="Arial" w:cs="Arial"/>
          <w:sz w:val="20"/>
          <w:szCs w:val="20"/>
        </w:rPr>
        <w:lastRenderedPageBreak/>
        <w:tab/>
      </w:r>
      <w:r w:rsidRPr="00B03B70">
        <w:rPr>
          <w:rFonts w:ascii="Arial" w:hAnsi="Arial" w:cs="Arial"/>
          <w:sz w:val="20"/>
          <w:szCs w:val="20"/>
        </w:rPr>
        <w:t xml:space="preserve">Institutional reforms starting from the constitution of every country from which they perform certain laws on property and contracts. The institutional reform is one of the financial system, in the field of financial markets and fiscal regimes. Institutional reform conditions and accounting reform which changes the system information of different users on the financial situation of enterprises. Legal system defines the basic rights and rules regulating economic relations, and he has to ensure individual freedom and transparent government. Countries in transition need three laws adapted to the new conditions relating to property, contracts and Endangering the property, then the laws on enterprises, banking, tax law, the law on social protection, the law on monopolies, financial markets and financial ownership, labor relations, environmental protection. Institutions are usually defined as a set of formal rules in the form of laws and statutes and informal rules in the form of habits, customs and traditions. The interaction of formal with informal rules brings efficiency. </w:t>
      </w:r>
    </w:p>
    <w:p w:rsidR="00B268A5" w:rsidRPr="00B03B70" w:rsidRDefault="00B268A5" w:rsidP="00B268A5">
      <w:pPr>
        <w:jc w:val="both"/>
        <w:rPr>
          <w:rFonts w:ascii="Arial" w:hAnsi="Arial" w:cs="Arial"/>
          <w:sz w:val="20"/>
          <w:szCs w:val="20"/>
        </w:rPr>
      </w:pPr>
      <w:r>
        <w:rPr>
          <w:rFonts w:ascii="Arial" w:hAnsi="Arial" w:cs="Arial"/>
          <w:sz w:val="20"/>
          <w:szCs w:val="20"/>
        </w:rPr>
        <w:tab/>
      </w:r>
      <w:r w:rsidRPr="00B03B70">
        <w:rPr>
          <w:rFonts w:ascii="Arial" w:hAnsi="Arial" w:cs="Arial"/>
          <w:sz w:val="20"/>
          <w:szCs w:val="20"/>
        </w:rPr>
        <w:t xml:space="preserve">Privatization is one of the biggest problems of the transition process and can not be left to spontaneity, which warns of the need for effective state involvement in such a way that the privatization be treated on ideological grounds as an end in itself. Privatization policy can be applied only within a political environment that will support it. In order to successfully implement the privatization should make a serious program of information society, to create a favorable economic environment for private initiative, organized social support, organize enterprises for privatization and ensure social security. </w:t>
      </w:r>
    </w:p>
    <w:p w:rsidR="00B268A5" w:rsidRDefault="00B268A5" w:rsidP="00B268A5">
      <w:pPr>
        <w:jc w:val="both"/>
        <w:rPr>
          <w:rFonts w:ascii="Arial" w:hAnsi="Arial" w:cs="Arial"/>
          <w:sz w:val="20"/>
          <w:szCs w:val="20"/>
        </w:rPr>
      </w:pPr>
      <w:r>
        <w:rPr>
          <w:rFonts w:ascii="Arial" w:hAnsi="Arial" w:cs="Arial"/>
          <w:sz w:val="20"/>
          <w:szCs w:val="20"/>
        </w:rPr>
        <w:tab/>
      </w:r>
      <w:r w:rsidRPr="00B03B70">
        <w:rPr>
          <w:rFonts w:ascii="Arial" w:hAnsi="Arial" w:cs="Arial"/>
          <w:sz w:val="20"/>
          <w:szCs w:val="20"/>
        </w:rPr>
        <w:t>The role of government in the economy changed with the development of society, the changes in the structure of social production, shifts in its technical basis, which leads to the development of state functions. It is believed that the transition process should be conducted with as little state presence, but that the government should initiate reforms. When forming a market economy countries must build the legal basis of the market economy, the privatization program, antitrust economics, regulation of finance and foreign economic relations and social protection of the population.</w:t>
      </w:r>
    </w:p>
    <w:p w:rsidR="00B268A5" w:rsidRPr="00B03B70" w:rsidRDefault="00B268A5" w:rsidP="00B268A5">
      <w:pPr>
        <w:pStyle w:val="Heading1"/>
      </w:pPr>
      <w:r w:rsidRPr="00B03B70">
        <w:t xml:space="preserve">MACROECONOMIC INDICATORS OF TRANSITION </w:t>
      </w:r>
    </w:p>
    <w:p w:rsidR="00B268A5" w:rsidRPr="00B03B70" w:rsidRDefault="00B268A5" w:rsidP="00B268A5">
      <w:pPr>
        <w:tabs>
          <w:tab w:val="left" w:pos="1843"/>
        </w:tabs>
        <w:jc w:val="both"/>
        <w:rPr>
          <w:rFonts w:ascii="Arial" w:hAnsi="Arial" w:cs="Arial"/>
          <w:sz w:val="20"/>
          <w:szCs w:val="20"/>
        </w:rPr>
      </w:pPr>
      <w:r w:rsidRPr="00B03B70">
        <w:rPr>
          <w:rFonts w:ascii="Arial" w:hAnsi="Arial" w:cs="Arial"/>
          <w:i/>
          <w:sz w:val="20"/>
          <w:szCs w:val="20"/>
        </w:rPr>
        <w:t xml:space="preserve"> </w:t>
      </w:r>
      <w:r w:rsidRPr="00B03B70">
        <w:rPr>
          <w:rFonts w:ascii="Arial" w:hAnsi="Arial" w:cs="Arial"/>
          <w:sz w:val="20"/>
          <w:szCs w:val="20"/>
        </w:rPr>
        <w:t xml:space="preserve">Transition in Serbia is very long, and the success of this process is best confirmed by the main macroeconomic indicators: low GDP per capita, high unemployment rate, low level of investment activity, the problem of external and internal debt, high foreign trade deficit, low competitiveness, high unemployment . </w:t>
      </w:r>
    </w:p>
    <w:p w:rsidR="00B268A5" w:rsidRDefault="00B268A5" w:rsidP="00B268A5">
      <w:pPr>
        <w:tabs>
          <w:tab w:val="left" w:pos="1843"/>
        </w:tabs>
        <w:jc w:val="both"/>
        <w:rPr>
          <w:rFonts w:ascii="Arial" w:hAnsi="Arial" w:cs="Arial"/>
          <w:sz w:val="20"/>
          <w:szCs w:val="20"/>
        </w:rPr>
      </w:pPr>
      <w:r w:rsidRPr="00B03B70">
        <w:rPr>
          <w:rFonts w:ascii="Arial" w:hAnsi="Arial" w:cs="Arial"/>
          <w:sz w:val="20"/>
          <w:szCs w:val="20"/>
        </w:rPr>
        <w:t xml:space="preserve">In the period from 2001 to 2009th year, the average growth rate of 4.4%, which is insufficient because the GDP in 2001 reached only 73% of GDP in the nineties, while the most successful transition countries have long crossed the level of GDP in the nineties. Exports in 2009 compared to 2001 increased nearly five times, but this growth was modest, as the trade deficit exceeds the value of exports. Economic growth in Serbia in the period after 2000 is characterized by growth rates that are lower in comparison with the rates of inflow of foreign funds and growth rates zduženosti zemlje.Inostrana funds are not sufficiently allocated to production, which can provide enough profit for the return of principal and interest. In terms zaposloenosti results in Serbia are also far from desirable. Employment has continuous decline. The inflow of foreign investment is linked to the sale of the company in the privatization process. </w:t>
      </w:r>
    </w:p>
    <w:p w:rsidR="00B268A5" w:rsidRPr="00B03B70" w:rsidRDefault="00B268A5" w:rsidP="00B268A5">
      <w:pPr>
        <w:jc w:val="both"/>
        <w:rPr>
          <w:rFonts w:ascii="Arial" w:hAnsi="Arial" w:cs="Arial"/>
          <w:sz w:val="20"/>
          <w:szCs w:val="20"/>
        </w:rPr>
      </w:pPr>
      <w:r>
        <w:rPr>
          <w:rFonts w:ascii="Arial" w:hAnsi="Arial" w:cs="Arial"/>
          <w:sz w:val="20"/>
          <w:szCs w:val="20"/>
        </w:rPr>
        <w:tab/>
      </w:r>
      <w:r w:rsidRPr="00B03B70">
        <w:rPr>
          <w:rFonts w:ascii="Arial" w:hAnsi="Arial" w:cs="Arial"/>
          <w:sz w:val="20"/>
          <w:szCs w:val="20"/>
        </w:rPr>
        <w:t xml:space="preserve">The initial effect of the transition was reflected in the decline in production, investment and employment. Decline in production was observed in all countries, irrespective of the chosen strategy of transition. Eastern European countries were brought in inverioran position in relation to the developed countries of the West, with the danger of becoming their raw material base. The level of industrial production in 1989 exceeded only Uzbekistan and Belarus. </w:t>
      </w:r>
    </w:p>
    <w:p w:rsidR="00B268A5" w:rsidRPr="00B03B70" w:rsidRDefault="00B268A5" w:rsidP="00B268A5">
      <w:pPr>
        <w:jc w:val="both"/>
        <w:rPr>
          <w:rFonts w:ascii="Arial" w:hAnsi="Arial" w:cs="Arial"/>
          <w:sz w:val="20"/>
          <w:szCs w:val="20"/>
        </w:rPr>
      </w:pPr>
      <w:r>
        <w:rPr>
          <w:rFonts w:ascii="Arial" w:hAnsi="Arial" w:cs="Arial"/>
          <w:sz w:val="20"/>
          <w:szCs w:val="20"/>
        </w:rPr>
        <w:tab/>
      </w:r>
      <w:r w:rsidRPr="00B03B70">
        <w:rPr>
          <w:rFonts w:ascii="Arial" w:hAnsi="Arial" w:cs="Arial"/>
          <w:sz w:val="20"/>
          <w:szCs w:val="20"/>
        </w:rPr>
        <w:t xml:space="preserve">An important prerequisite for further growth economies in transition countries is curbing inflation. Countries with inflation under control had much faster growth than others. Single-digit inflation was observed only in the Czech Republic, Slovenia, Slovakia and Croatia, and in all the other double digit. In the area of ​​monetary and fiscal stabilization and exchange rate stabilization furthest we have gone in the Central Europe, and the countries of the former Soviet Union are still problems in maintaining macroeconomic stability. </w:t>
      </w:r>
    </w:p>
    <w:p w:rsidR="00B268A5" w:rsidRPr="00B03B70" w:rsidRDefault="00B268A5" w:rsidP="00B268A5">
      <w:pPr>
        <w:jc w:val="both"/>
        <w:rPr>
          <w:rFonts w:ascii="Arial" w:hAnsi="Arial" w:cs="Arial"/>
          <w:sz w:val="20"/>
          <w:szCs w:val="20"/>
        </w:rPr>
      </w:pPr>
      <w:r>
        <w:rPr>
          <w:rFonts w:ascii="Arial" w:hAnsi="Arial" w:cs="Arial"/>
          <w:sz w:val="20"/>
          <w:szCs w:val="20"/>
        </w:rPr>
        <w:tab/>
      </w:r>
      <w:r w:rsidRPr="00B03B70">
        <w:rPr>
          <w:rFonts w:ascii="Arial" w:hAnsi="Arial" w:cs="Arial"/>
          <w:sz w:val="20"/>
          <w:szCs w:val="20"/>
        </w:rPr>
        <w:t xml:space="preserve">The total external debt of Serbia at the end of September 2010 reached the amount of about 23.1 billion euros. The share of external debt to GDP ratio reached 78%, an increase of 1.2% compared to the end of 2009. According to the data of the Statistical Office of the structure of gross value added in 2009 iiznosila is: 65.5% services, 18.7% industry, 12.6% agriculture and 3.2% of the construction industry. According to data of the National Bank of Serbia, about 45% of the external debt of the country was created in the period before 2000. Public sector debt at the end of 2010 amounted to 8.9 billion euros, which is almost 38.4% of total external debt. Private debt of 14.2 billion euros means the bank debt of 31.1% and 68.9% of corporate debt. The structure of external debt by maturity is improved compared to the end of 2009. Short debt accounted for 5.6% of total debt, compared to 6.2% at the end of June 2010. The largest foreign creditors of Serbia, international financial organizations, as well as the Paris and London Club creditors. An important goal of economic policy in the future is regularly repaying foreign debt while maintaining stable economic growth. Regular servicing of external debt would have a positive impact on investment and development because it will contribute to restoring trust businesses in the country. In the coming years is therefore necessary to ensure the growth and stability of the economy to avoid a debt crisis. If you do not ensure macroeconomic stability, increased investment and increased exports will cause the appearance of stagnation and recession, inflation and balance of payments problem. </w:t>
      </w:r>
    </w:p>
    <w:p w:rsidR="00B268A5" w:rsidRPr="00B03B70" w:rsidRDefault="00B268A5" w:rsidP="00B268A5">
      <w:pPr>
        <w:jc w:val="both"/>
        <w:rPr>
          <w:rFonts w:ascii="Arial" w:hAnsi="Arial" w:cs="Arial"/>
          <w:sz w:val="20"/>
          <w:szCs w:val="20"/>
        </w:rPr>
      </w:pPr>
      <w:r>
        <w:rPr>
          <w:rFonts w:ascii="Arial" w:hAnsi="Arial" w:cs="Arial"/>
          <w:sz w:val="20"/>
          <w:szCs w:val="20"/>
        </w:rPr>
        <w:tab/>
      </w:r>
      <w:r w:rsidRPr="00B03B70">
        <w:rPr>
          <w:rFonts w:ascii="Arial" w:hAnsi="Arial" w:cs="Arial"/>
          <w:sz w:val="20"/>
          <w:szCs w:val="20"/>
        </w:rPr>
        <w:t xml:space="preserve">According to the criteria of the World Bank, the country is highly indebted if its external debt exceeds 80% of GDP, and if 220% higher than exports of goods and services. In 2001, Serbia's foreign debt in dollar terms, </w:t>
      </w:r>
      <w:r w:rsidRPr="00B03B70">
        <w:rPr>
          <w:rFonts w:ascii="Arial" w:hAnsi="Arial" w:cs="Arial"/>
          <w:sz w:val="20"/>
          <w:szCs w:val="20"/>
        </w:rPr>
        <w:lastRenderedPageBreak/>
        <w:t xml:space="preserve">reaching 96.1% of GDP and 456.9% was higher than exports of goods and services, which means that Serbia at the beginning of the transition period was a highly indebted country. In 2008, the external debt was 62.9% of GDP and 204.8% higher than exports, on the basis of which it can be concluded that Serbia that year was moderately indebted. Serbia in the near future must solve the problems of large foreign trade manjkoga by attracting foreign investment and domestic investment in the competitive production and export. Otherwise, it will be faced with the problem that the deficits can no longer pay all the money from privatization, and even less credit. </w:t>
      </w:r>
    </w:p>
    <w:p w:rsidR="00B268A5" w:rsidRPr="00B03B70" w:rsidRDefault="00B268A5" w:rsidP="00B268A5">
      <w:pPr>
        <w:jc w:val="both"/>
        <w:rPr>
          <w:rFonts w:ascii="Arial" w:hAnsi="Arial" w:cs="Arial"/>
          <w:sz w:val="20"/>
          <w:szCs w:val="20"/>
        </w:rPr>
      </w:pPr>
      <w:r>
        <w:rPr>
          <w:rFonts w:ascii="Arial" w:hAnsi="Arial" w:cs="Arial"/>
          <w:sz w:val="20"/>
          <w:szCs w:val="20"/>
        </w:rPr>
        <w:tab/>
      </w:r>
      <w:r w:rsidRPr="00B03B70">
        <w:rPr>
          <w:rFonts w:ascii="Arial" w:hAnsi="Arial" w:cs="Arial"/>
          <w:sz w:val="20"/>
          <w:szCs w:val="20"/>
        </w:rPr>
        <w:t xml:space="preserve">The liberalization of foreign trade in Serbia has resulted in a significant increase in the volume of the same. opening the country to foreign markets had a much greater impact on import growth than export growth because the economy was not ready to respond to foreign competition. As privatization progressed a number of new companies, but could be found on the world market. The results of exports and imports had a certain impact depreciation of the dinar and the increase in economic activity in the world. The main problems in the sphere of economic and financial relations of Serbia with foreign reflected in the low and declining competitiveness of the economy, the low level of exports, high external debt, high dependence on foreign capital inflows and low levels of foreign direct investment. </w:t>
      </w:r>
    </w:p>
    <w:p w:rsidR="00B268A5" w:rsidRPr="00B03B70" w:rsidRDefault="00B268A5" w:rsidP="00B268A5">
      <w:pPr>
        <w:tabs>
          <w:tab w:val="left" w:pos="426"/>
        </w:tabs>
        <w:jc w:val="both"/>
        <w:rPr>
          <w:rFonts w:ascii="Arial" w:hAnsi="Arial" w:cs="Arial"/>
          <w:sz w:val="20"/>
          <w:szCs w:val="20"/>
        </w:rPr>
      </w:pPr>
      <w:r>
        <w:rPr>
          <w:rFonts w:ascii="Arial" w:hAnsi="Arial" w:cs="Arial"/>
          <w:sz w:val="20"/>
          <w:szCs w:val="20"/>
        </w:rPr>
        <w:tab/>
      </w:r>
      <w:r>
        <w:rPr>
          <w:rFonts w:ascii="Arial" w:hAnsi="Arial" w:cs="Arial"/>
          <w:sz w:val="20"/>
          <w:szCs w:val="20"/>
        </w:rPr>
        <w:tab/>
      </w:r>
      <w:r w:rsidRPr="00B03B70">
        <w:rPr>
          <w:rFonts w:ascii="Arial" w:hAnsi="Arial" w:cs="Arial"/>
          <w:sz w:val="20"/>
          <w:szCs w:val="20"/>
        </w:rPr>
        <w:t xml:space="preserve">The labor market in the last 10 years of transition, characterized by the reduction of employees as a result of privatization and economic reforms. As a result of the economic restrukturanja and privatization, unemployment doubled in 2010 compared to the year 2001 when it was 11%. According to data of the National Bureau of Statistics, the unemployment rate in October 2010 was 19.2%, while the employment rate decreased from 41.6% to 37.7% in the period from 2009 to 2010. The decline of the labor market in times of economic crisis is greater in Serbia (12.5%) than in other countries (Romania 1.2%, 3.0%, Czech Republic, Bulgaria 6.1%). Newfound economic crisis only accelerated the unfinished transition process whose effects were more aggressive than the economic krize.Smatra that the transition was completed when the gross national product higher than that before the transition. The transition was completed when he formed a new institutional environment, which provides a stable and sustainable functioning of the market economy. </w:t>
      </w:r>
    </w:p>
    <w:p w:rsidR="00B268A5" w:rsidRDefault="00B268A5" w:rsidP="00B268A5">
      <w:pPr>
        <w:jc w:val="both"/>
        <w:rPr>
          <w:rFonts w:ascii="Arial" w:hAnsi="Arial" w:cs="Arial"/>
          <w:sz w:val="20"/>
          <w:szCs w:val="20"/>
        </w:rPr>
      </w:pPr>
      <w:r>
        <w:rPr>
          <w:rFonts w:ascii="Arial" w:hAnsi="Arial" w:cs="Arial"/>
          <w:sz w:val="20"/>
          <w:szCs w:val="20"/>
        </w:rPr>
        <w:tab/>
      </w:r>
      <w:r w:rsidRPr="00B03B70">
        <w:rPr>
          <w:rFonts w:ascii="Arial" w:hAnsi="Arial" w:cs="Arial"/>
          <w:sz w:val="20"/>
          <w:szCs w:val="20"/>
        </w:rPr>
        <w:t xml:space="preserve">Economic development of Serbia in the last fifteen years are characterized by the lack of investment in the manufacturing and retail share of investment in GDP. The influx of investment depends on the size of the country, market and other conditions, economic structure, risk assessment, and it is impossible to compare the amounts of foreign direct investment across countries. The most important result of foreign investment is its contribution to improving industry and the service sector of the country and create jobs. Serbia was in 2006 recorded the highest inflow of foreign investment of 4.35 million. $, That in 2009 it was 1.92 million. $. For these reasons, the state must improve the country's credit rating because it loans from international organizations made ​​more accessible, and would allow foreign investors to gain confidence in our markets. In the last ten years of transition, Serbia did not achieve a sustainable single digit inflation rate, as one of the measures of macroeconomic stability. The basis of economic reform makes stabilization policy focused on reducing inflation. </w:t>
      </w:r>
    </w:p>
    <w:p w:rsidR="00B268A5" w:rsidRPr="00B03B70" w:rsidRDefault="00B268A5" w:rsidP="00FF2087">
      <w:pPr>
        <w:tabs>
          <w:tab w:val="left" w:pos="284"/>
        </w:tabs>
        <w:jc w:val="both"/>
        <w:rPr>
          <w:rFonts w:ascii="Arial" w:hAnsi="Arial" w:cs="Arial"/>
          <w:sz w:val="20"/>
          <w:szCs w:val="20"/>
        </w:rPr>
      </w:pPr>
      <w:r w:rsidRPr="00B03B70">
        <w:rPr>
          <w:rFonts w:ascii="Arial" w:hAnsi="Arial" w:cs="Arial"/>
          <w:sz w:val="20"/>
          <w:szCs w:val="20"/>
        </w:rPr>
        <w:t xml:space="preserve">National Bank of Serbia shall implement monetary policy in order to maintain financial market stability and the reserve requirement and intervention in the foreign exchange market. The largest price increase in Europe of 11.5% was achieved in 2010.godini.Visoke inflation rates negatively affect economic growth in the medium and long term. Experience in many countries shows that economic growth was fastest when prices were stable. Basic conditions for the stability of the Serbian economy are a reduction in public spending, the trade deficit and inflation. </w:t>
      </w:r>
    </w:p>
    <w:p w:rsidR="00B268A5" w:rsidRPr="00B03B70" w:rsidRDefault="00B268A5" w:rsidP="00B268A5">
      <w:pPr>
        <w:tabs>
          <w:tab w:val="left" w:pos="1843"/>
        </w:tabs>
        <w:jc w:val="both"/>
        <w:rPr>
          <w:rFonts w:ascii="Arial" w:hAnsi="Arial" w:cs="Arial"/>
          <w:sz w:val="20"/>
          <w:szCs w:val="20"/>
        </w:rPr>
      </w:pPr>
      <w:r w:rsidRPr="00B03B70">
        <w:rPr>
          <w:rFonts w:ascii="Arial" w:hAnsi="Arial" w:cs="Arial"/>
          <w:sz w:val="20"/>
          <w:szCs w:val="20"/>
        </w:rPr>
        <w:t xml:space="preserve">             Serbia is one of the last countries that embarked on the process of transition, with a ten-year delay in comparison to other countries. Experts from the European Bank for Reconstruction and Development Transition divided into two phases where the first is from price and trade liberalization and privatization of small enterprises, and other large-scale privatization, restructuring, competition policy, banking reform and the reform of non-bank financial institutions. EBRD is the first phase of transition Serbia marked the 3.78 mark, while the second phase evaluated with 2.45. According to the report EBRD lowest grade of 1 Serbia has received in the evaluation of competition policy, on the grounds that there was no legal framework and defined policy.</w:t>
      </w:r>
    </w:p>
    <w:p w:rsidR="00B268A5" w:rsidRPr="00B268A5" w:rsidRDefault="00B268A5" w:rsidP="00B268A5">
      <w:pPr>
        <w:pStyle w:val="Heading1"/>
        <w:rPr>
          <w:szCs w:val="28"/>
        </w:rPr>
      </w:pPr>
      <w:r w:rsidRPr="00B268A5">
        <w:rPr>
          <w:szCs w:val="28"/>
        </w:rPr>
        <w:t xml:space="preserve">CONCLUSION </w:t>
      </w:r>
    </w:p>
    <w:p w:rsidR="00B268A5" w:rsidRPr="00B03B70" w:rsidRDefault="00B268A5" w:rsidP="00B268A5">
      <w:pPr>
        <w:tabs>
          <w:tab w:val="left" w:pos="1843"/>
        </w:tabs>
        <w:jc w:val="both"/>
        <w:rPr>
          <w:rFonts w:ascii="Arial" w:hAnsi="Arial" w:cs="Arial"/>
          <w:sz w:val="20"/>
          <w:szCs w:val="20"/>
        </w:rPr>
      </w:pPr>
      <w:r w:rsidRPr="00B03B70">
        <w:rPr>
          <w:rFonts w:ascii="Arial" w:hAnsi="Arial" w:cs="Arial"/>
          <w:sz w:val="20"/>
          <w:szCs w:val="20"/>
        </w:rPr>
        <w:t xml:space="preserve">           The state of transition  in structural reforms and investment reflected in the nine transition indicators defined by the European Bank for Reconstruction and Development. They cover the most important elements of a market economy: companies, markets and shops, financial institutions and infrastructure, and the quality of its overall infrastructure consists of five sub-indicators: telecommunications, railways, roads, power sector, water and sanitation. </w:t>
      </w:r>
    </w:p>
    <w:p w:rsidR="00B268A5" w:rsidRPr="00B03B70" w:rsidRDefault="00B268A5" w:rsidP="00B268A5">
      <w:pPr>
        <w:tabs>
          <w:tab w:val="left" w:pos="1843"/>
        </w:tabs>
        <w:jc w:val="both"/>
        <w:rPr>
          <w:rFonts w:ascii="Arial" w:hAnsi="Arial" w:cs="Arial"/>
          <w:sz w:val="20"/>
          <w:szCs w:val="20"/>
        </w:rPr>
      </w:pPr>
      <w:r w:rsidRPr="00B03B70">
        <w:rPr>
          <w:rFonts w:ascii="Arial" w:hAnsi="Arial" w:cs="Arial"/>
          <w:sz w:val="20"/>
          <w:szCs w:val="20"/>
        </w:rPr>
        <w:t xml:space="preserve">             According to the above mentioned indicators, it can be concluded that Serbia has successfully completed the first phase of transition, which is the basis for the second phase of reforms. In this sense, economic policy must be guided in such a way to ensure economic growth, employment and living standards of the population.</w:t>
      </w:r>
    </w:p>
    <w:p w:rsidR="00B268A5" w:rsidRDefault="00B268A5" w:rsidP="00B268A5">
      <w:pPr>
        <w:tabs>
          <w:tab w:val="left" w:pos="1843"/>
        </w:tabs>
        <w:jc w:val="both"/>
        <w:rPr>
          <w:rFonts w:ascii="Arial" w:hAnsi="Arial" w:cs="Arial"/>
          <w:sz w:val="20"/>
          <w:szCs w:val="20"/>
        </w:rPr>
      </w:pPr>
    </w:p>
    <w:p w:rsidR="00B268A5" w:rsidRDefault="00B268A5" w:rsidP="00B268A5">
      <w:pPr>
        <w:pStyle w:val="Heading1"/>
      </w:pPr>
      <w:r w:rsidRPr="00B03B70">
        <w:lastRenderedPageBreak/>
        <w:t xml:space="preserve">REFERENCES </w:t>
      </w:r>
    </w:p>
    <w:p w:rsidR="00FF2087" w:rsidRDefault="00B268A5" w:rsidP="00B268A5">
      <w:pPr>
        <w:pStyle w:val="literatura"/>
        <w:tabs>
          <w:tab w:val="left" w:pos="1843"/>
        </w:tabs>
        <w:rPr>
          <w:szCs w:val="20"/>
        </w:rPr>
      </w:pPr>
      <w:r w:rsidRPr="00FF2087">
        <w:rPr>
          <w:szCs w:val="20"/>
        </w:rPr>
        <w:t xml:space="preserve">S.Fischer and A.Belb, Issaes in the Reform of Socialist Economies in pub.V.Corbo, E.Corcelli, J.Bossak, Reforming Central and Eastern Auropan Economies: Initial Reults and Shalenges, The World Bank, Waxhingtone , in 1991. </w:t>
      </w:r>
    </w:p>
    <w:p w:rsidR="00FF2087" w:rsidRDefault="00B268A5" w:rsidP="00B268A5">
      <w:pPr>
        <w:pStyle w:val="literatura"/>
        <w:tabs>
          <w:tab w:val="left" w:pos="1843"/>
        </w:tabs>
        <w:rPr>
          <w:szCs w:val="20"/>
        </w:rPr>
      </w:pPr>
      <w:r w:rsidRPr="00FF2087">
        <w:rPr>
          <w:szCs w:val="20"/>
        </w:rPr>
        <w:t xml:space="preserve">P. Samuelson, W. Nordhaus, Economics, XIV Edition, Mate, Zagreb, in 1992. </w:t>
      </w:r>
    </w:p>
    <w:p w:rsidR="00FF2087" w:rsidRDefault="00B268A5" w:rsidP="00B268A5">
      <w:pPr>
        <w:pStyle w:val="literatura"/>
        <w:tabs>
          <w:tab w:val="left" w:pos="1843"/>
        </w:tabs>
        <w:rPr>
          <w:szCs w:val="20"/>
        </w:rPr>
      </w:pPr>
      <w:r w:rsidRPr="00FF2087">
        <w:rPr>
          <w:szCs w:val="20"/>
        </w:rPr>
        <w:t xml:space="preserve">Lj.Joksimović, Contemporary Economic Systems, centrally-planned economies in transition, Faculty of Economics, Belgrade, in 1991. </w:t>
      </w:r>
    </w:p>
    <w:p w:rsidR="00FF2087" w:rsidRDefault="00B268A5" w:rsidP="00B268A5">
      <w:pPr>
        <w:pStyle w:val="literatura"/>
        <w:tabs>
          <w:tab w:val="left" w:pos="1843"/>
        </w:tabs>
        <w:rPr>
          <w:szCs w:val="20"/>
        </w:rPr>
      </w:pPr>
      <w:r w:rsidRPr="00FF2087">
        <w:rPr>
          <w:szCs w:val="20"/>
        </w:rPr>
        <w:t xml:space="preserve">U. Kivikari, Liberalization exterior torgovlji ekonomičeskoj in the process of transformation in Rossio Question economics, 8/97. </w:t>
      </w:r>
    </w:p>
    <w:p w:rsidR="00FF2087" w:rsidRDefault="00B268A5" w:rsidP="00B268A5">
      <w:pPr>
        <w:pStyle w:val="literatura"/>
        <w:tabs>
          <w:tab w:val="left" w:pos="1843"/>
        </w:tabs>
        <w:rPr>
          <w:szCs w:val="20"/>
        </w:rPr>
      </w:pPr>
      <w:r w:rsidRPr="00FF2087">
        <w:rPr>
          <w:szCs w:val="20"/>
        </w:rPr>
        <w:t>D.Đuričin, economies in transition, privatization and related topics, Childrens newspaper, Belgrade, in 1994</w:t>
      </w:r>
    </w:p>
    <w:p w:rsidR="00FF2087" w:rsidRDefault="00B268A5" w:rsidP="00B268A5">
      <w:pPr>
        <w:pStyle w:val="literatura"/>
        <w:tabs>
          <w:tab w:val="left" w:pos="1843"/>
        </w:tabs>
        <w:rPr>
          <w:szCs w:val="20"/>
        </w:rPr>
      </w:pPr>
      <w:r w:rsidRPr="00FF2087">
        <w:rPr>
          <w:szCs w:val="20"/>
        </w:rPr>
        <w:t xml:space="preserve">.D.Nort, The Contrihution of the New Institutional Economics to an Understanding of the Transition Problem, UNU / WIDER, 1977th </w:t>
      </w:r>
    </w:p>
    <w:p w:rsidR="00FF2087" w:rsidRDefault="00B268A5" w:rsidP="00B268A5">
      <w:pPr>
        <w:pStyle w:val="literatura"/>
        <w:tabs>
          <w:tab w:val="left" w:pos="1843"/>
        </w:tabs>
        <w:rPr>
          <w:szCs w:val="20"/>
        </w:rPr>
      </w:pPr>
      <w:r w:rsidRPr="00FF2087">
        <w:rPr>
          <w:szCs w:val="20"/>
        </w:rPr>
        <w:t>W.Brus, General Problems of Privatization in the Process of Transformation of the Post-Communist Economies, Privatization in the Transition Process Recent, Experiences in Eastern Aurope, UNCTAD, in 1993.</w:t>
      </w:r>
    </w:p>
    <w:p w:rsidR="00FF2087" w:rsidRDefault="00B268A5" w:rsidP="00B268A5">
      <w:pPr>
        <w:pStyle w:val="literatura"/>
        <w:tabs>
          <w:tab w:val="left" w:pos="1843"/>
        </w:tabs>
        <w:rPr>
          <w:szCs w:val="20"/>
        </w:rPr>
      </w:pPr>
      <w:r w:rsidRPr="00FF2087">
        <w:rPr>
          <w:szCs w:val="20"/>
        </w:rPr>
        <w:t xml:space="preserve"> L.Abalkin, Pol a country in Stanovlenie Custom and the Market Economy, Question economics, 6/97.</w:t>
      </w:r>
    </w:p>
    <w:p w:rsidR="00FF2087" w:rsidRDefault="00B268A5" w:rsidP="00B268A5">
      <w:pPr>
        <w:pStyle w:val="literatura"/>
        <w:tabs>
          <w:tab w:val="left" w:pos="1843"/>
        </w:tabs>
        <w:rPr>
          <w:szCs w:val="20"/>
        </w:rPr>
      </w:pPr>
      <w:r w:rsidRPr="00FF2087">
        <w:rPr>
          <w:szCs w:val="20"/>
        </w:rPr>
        <w:t>Rolj States of the transition to the Market economics, Soviet-South Korean Symposium, Questions ekonomiki, 11/91.</w:t>
      </w:r>
    </w:p>
    <w:p w:rsidR="00FF2087" w:rsidRDefault="00B268A5" w:rsidP="00B268A5">
      <w:pPr>
        <w:pStyle w:val="literatura"/>
        <w:tabs>
          <w:tab w:val="left" w:pos="1843"/>
        </w:tabs>
        <w:rPr>
          <w:szCs w:val="20"/>
        </w:rPr>
      </w:pPr>
      <w:r w:rsidRPr="00FF2087">
        <w:rPr>
          <w:szCs w:val="20"/>
        </w:rPr>
        <w:t xml:space="preserve">Data taken from Table Serbian Chamber of Commerce, macroeconomic indicators for the period from 2001 to year 2009. </w:t>
      </w:r>
    </w:p>
    <w:p w:rsidR="00FF2087" w:rsidRDefault="00B268A5" w:rsidP="00B268A5">
      <w:pPr>
        <w:pStyle w:val="literatura"/>
        <w:tabs>
          <w:tab w:val="left" w:pos="1843"/>
        </w:tabs>
        <w:rPr>
          <w:szCs w:val="20"/>
        </w:rPr>
      </w:pPr>
      <w:r w:rsidRPr="00FF2087">
        <w:rPr>
          <w:szCs w:val="20"/>
        </w:rPr>
        <w:t>V.Kudrov, Centralajnaja and Vostočnaja Europe: desjat ljet peremen, Obšćestvenye Sciences, 1/2001.</w:t>
      </w:r>
    </w:p>
    <w:p w:rsidR="00FF2087" w:rsidRDefault="00B268A5" w:rsidP="00B268A5">
      <w:pPr>
        <w:pStyle w:val="literatura"/>
        <w:tabs>
          <w:tab w:val="left" w:pos="1843"/>
        </w:tabs>
        <w:rPr>
          <w:szCs w:val="20"/>
        </w:rPr>
      </w:pPr>
      <w:r w:rsidRPr="00FF2087">
        <w:rPr>
          <w:szCs w:val="20"/>
        </w:rPr>
        <w:t>The Republic Institute of Statistics, National Accounts Statistics, Structur</w:t>
      </w:r>
      <w:r w:rsidR="00FF2087">
        <w:rPr>
          <w:szCs w:val="20"/>
        </w:rPr>
        <w:t>e of gross value added in 2009.</w:t>
      </w:r>
    </w:p>
    <w:p w:rsidR="00B268A5" w:rsidRPr="00FF2087" w:rsidRDefault="00B268A5" w:rsidP="00B268A5">
      <w:pPr>
        <w:pStyle w:val="literatura"/>
        <w:tabs>
          <w:tab w:val="left" w:pos="1843"/>
        </w:tabs>
        <w:rPr>
          <w:szCs w:val="20"/>
        </w:rPr>
      </w:pPr>
      <w:r w:rsidRPr="00FF2087">
        <w:rPr>
          <w:szCs w:val="20"/>
        </w:rPr>
        <w:t>.R.Kapeljušnikov, Where to Start Togo thread? ..., Questions ekonomiki, 1/2001.</w:t>
      </w:r>
    </w:p>
    <w:p w:rsidR="00FC08C4" w:rsidRPr="006D4A72" w:rsidRDefault="00FC08C4" w:rsidP="00B268A5">
      <w:pPr>
        <w:ind w:firstLine="720"/>
        <w:jc w:val="both"/>
        <w:rPr>
          <w:caps/>
          <w:szCs w:val="20"/>
        </w:rPr>
      </w:pPr>
    </w:p>
    <w:sectPr w:rsidR="00FC08C4" w:rsidRPr="006D4A72" w:rsidSect="002E6A20">
      <w:footerReference w:type="default" r:id="rId9"/>
      <w:pgSz w:w="11907" w:h="16840" w:code="9"/>
      <w:pgMar w:top="851" w:right="851" w:bottom="851" w:left="851"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3FE5" w:rsidRDefault="00673FE5">
      <w:r>
        <w:separator/>
      </w:r>
    </w:p>
  </w:endnote>
  <w:endnote w:type="continuationSeparator" w:id="0">
    <w:p w:rsidR="00673FE5" w:rsidRDefault="00673FE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Arial">
    <w:panose1 w:val="020B0604020202020204"/>
    <w:charset w:val="EE"/>
    <w:family w:val="swiss"/>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EE"/>
    <w:family w:val="swiss"/>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DC6" w:rsidRPr="00EA6A53" w:rsidRDefault="002E76F5" w:rsidP="002E6A20">
    <w:pPr>
      <w:pStyle w:val="Footer"/>
      <w:jc w:val="right"/>
      <w:rPr>
        <w:rFonts w:ascii="Arial" w:hAnsi="Arial" w:cs="Arial"/>
        <w:color w:val="3366FF"/>
        <w:sz w:val="20"/>
        <w:szCs w:val="20"/>
      </w:rPr>
    </w:pPr>
    <w:r w:rsidRPr="00EA6A53">
      <w:rPr>
        <w:rStyle w:val="PageNumber"/>
        <w:rFonts w:ascii="Arial" w:hAnsi="Arial" w:cs="Arial"/>
        <w:color w:val="3366FF"/>
        <w:sz w:val="20"/>
        <w:szCs w:val="20"/>
      </w:rPr>
      <w:fldChar w:fldCharType="begin"/>
    </w:r>
    <w:r w:rsidR="00075DC6" w:rsidRPr="00EA6A53">
      <w:rPr>
        <w:rStyle w:val="PageNumber"/>
        <w:rFonts w:ascii="Arial" w:hAnsi="Arial" w:cs="Arial"/>
        <w:color w:val="3366FF"/>
        <w:sz w:val="20"/>
        <w:szCs w:val="20"/>
      </w:rPr>
      <w:instrText xml:space="preserve"> PAGE </w:instrText>
    </w:r>
    <w:r w:rsidRPr="00EA6A53">
      <w:rPr>
        <w:rStyle w:val="PageNumber"/>
        <w:rFonts w:ascii="Arial" w:hAnsi="Arial" w:cs="Arial"/>
        <w:color w:val="3366FF"/>
        <w:sz w:val="20"/>
        <w:szCs w:val="20"/>
      </w:rPr>
      <w:fldChar w:fldCharType="separate"/>
    </w:r>
    <w:r w:rsidR="00FB2EBF">
      <w:rPr>
        <w:rStyle w:val="PageNumber"/>
        <w:rFonts w:ascii="Arial" w:hAnsi="Arial" w:cs="Arial"/>
        <w:noProof/>
        <w:color w:val="3366FF"/>
        <w:sz w:val="20"/>
        <w:szCs w:val="20"/>
      </w:rPr>
      <w:t>1</w:t>
    </w:r>
    <w:r w:rsidRPr="00EA6A53">
      <w:rPr>
        <w:rStyle w:val="PageNumber"/>
        <w:rFonts w:ascii="Arial" w:hAnsi="Arial" w:cs="Arial"/>
        <w:color w:val="3366FF"/>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3FE5" w:rsidRDefault="00673FE5">
      <w:r>
        <w:separator/>
      </w:r>
    </w:p>
  </w:footnote>
  <w:footnote w:type="continuationSeparator" w:id="0">
    <w:p w:rsidR="00673FE5" w:rsidRDefault="00673FE5">
      <w:r>
        <w:continuationSeparator/>
      </w:r>
    </w:p>
  </w:footnote>
  <w:footnote w:id="1">
    <w:p w:rsidR="0097163D" w:rsidRPr="0097163D" w:rsidRDefault="0097163D" w:rsidP="0097163D">
      <w:pPr>
        <w:tabs>
          <w:tab w:val="left" w:pos="1843"/>
        </w:tabs>
        <w:rPr>
          <w:rFonts w:ascii="Arial" w:hAnsi="Arial" w:cs="Arial"/>
          <w:i/>
          <w:sz w:val="16"/>
          <w:szCs w:val="16"/>
          <w:lang w:val="sv-SE"/>
        </w:rPr>
      </w:pPr>
      <w:r w:rsidRPr="001E2CF2">
        <w:rPr>
          <w:rStyle w:val="FootnoteReference"/>
          <w:rFonts w:ascii="Arial" w:hAnsi="Arial" w:cs="Arial"/>
          <w:i/>
          <w:sz w:val="16"/>
          <w:szCs w:val="16"/>
        </w:rPr>
        <w:footnoteRef/>
      </w:r>
      <w:r w:rsidRPr="001E2CF2">
        <w:rPr>
          <w:rFonts w:ascii="Arial" w:hAnsi="Arial" w:cs="Arial"/>
          <w:i/>
          <w:sz w:val="16"/>
          <w:szCs w:val="16"/>
          <w:lang w:val="sv-SE"/>
        </w:rPr>
        <w:t xml:space="preserve"> </w:t>
      </w:r>
      <w:r w:rsidRPr="001E2CF2">
        <w:rPr>
          <w:rFonts w:ascii="Arial" w:hAnsi="Arial" w:cs="Arial"/>
          <w:i/>
          <w:sz w:val="16"/>
          <w:szCs w:val="16"/>
        </w:rPr>
        <w:t xml:space="preserve">Ser High School of Applied Professional Studies in Vranje , Vranje, </w:t>
      </w:r>
      <w:r w:rsidRPr="001E2CF2">
        <w:rPr>
          <w:rFonts w:ascii="Arial" w:hAnsi="Arial" w:cs="Arial"/>
          <w:i/>
          <w:sz w:val="16"/>
          <w:szCs w:val="16"/>
          <w:lang w:val="sv-SE"/>
        </w:rPr>
        <w:t>Serbija</w:t>
      </w:r>
      <w:r>
        <w:rPr>
          <w:rFonts w:ascii="Arial" w:hAnsi="Arial" w:cs="Arial"/>
          <w:i/>
          <w:sz w:val="16"/>
          <w:szCs w:val="16"/>
          <w:lang w:val="sv-SE"/>
        </w:rPr>
        <w:t xml:space="preserve">, </w:t>
      </w:r>
      <w:r w:rsidRPr="0097163D">
        <w:rPr>
          <w:rFonts w:ascii="Arial" w:hAnsi="Arial" w:cs="Arial"/>
          <w:i/>
          <w:sz w:val="16"/>
          <w:szCs w:val="16"/>
        </w:rPr>
        <w:t>gordanavranje@gmail.com</w:t>
      </w:r>
    </w:p>
  </w:footnote>
  <w:footnote w:id="2">
    <w:p w:rsidR="008F1C90" w:rsidRPr="0097163D" w:rsidRDefault="008F1C90" w:rsidP="008F1C90">
      <w:pPr>
        <w:tabs>
          <w:tab w:val="left" w:pos="1843"/>
        </w:tabs>
        <w:rPr>
          <w:rFonts w:ascii="Arial" w:hAnsi="Arial" w:cs="Arial"/>
          <w:i/>
          <w:sz w:val="16"/>
          <w:szCs w:val="16"/>
          <w:lang w:val="sv-SE"/>
        </w:rPr>
      </w:pPr>
      <w:r w:rsidRPr="001E2CF2">
        <w:rPr>
          <w:rStyle w:val="FootnoteReference"/>
          <w:rFonts w:ascii="Arial" w:hAnsi="Arial" w:cs="Arial"/>
          <w:i/>
          <w:sz w:val="16"/>
          <w:szCs w:val="16"/>
        </w:rPr>
        <w:footnoteRef/>
      </w:r>
      <w:r w:rsidRPr="001E2CF2">
        <w:rPr>
          <w:rFonts w:ascii="Arial" w:hAnsi="Arial" w:cs="Arial"/>
          <w:i/>
          <w:sz w:val="16"/>
          <w:szCs w:val="16"/>
          <w:lang w:val="sv-SE"/>
        </w:rPr>
        <w:t xml:space="preserve"> </w:t>
      </w:r>
      <w:r w:rsidRPr="001E2CF2">
        <w:rPr>
          <w:rFonts w:ascii="Arial" w:hAnsi="Arial" w:cs="Arial"/>
          <w:i/>
          <w:sz w:val="16"/>
          <w:szCs w:val="16"/>
        </w:rPr>
        <w:t xml:space="preserve">Ser High School of Applied Professional Studies in Vranje , Vranje, </w:t>
      </w:r>
      <w:r w:rsidRPr="001E2CF2">
        <w:rPr>
          <w:rFonts w:ascii="Arial" w:hAnsi="Arial" w:cs="Arial"/>
          <w:i/>
          <w:sz w:val="16"/>
          <w:szCs w:val="16"/>
          <w:lang w:val="sv-SE"/>
        </w:rPr>
        <w:t>Serbija</w:t>
      </w:r>
    </w:p>
  </w:footnote>
  <w:footnote w:id="3">
    <w:p w:rsidR="00FC08C4" w:rsidRPr="001E2CF2" w:rsidRDefault="001E2CF2" w:rsidP="00FC08C4">
      <w:pPr>
        <w:pStyle w:val="fusnota"/>
        <w:rPr>
          <w:i/>
          <w:szCs w:val="16"/>
          <w:lang w:val="sv-SE"/>
        </w:rPr>
      </w:pPr>
      <w:r w:rsidRPr="00D53D86">
        <w:rPr>
          <w:rStyle w:val="FootnoteReference"/>
          <w:i/>
          <w:szCs w:val="16"/>
        </w:rPr>
        <w:footnoteRef/>
      </w:r>
      <w:r w:rsidRPr="00D53D86">
        <w:rPr>
          <w:i/>
          <w:lang w:val="sv-SE"/>
        </w:rPr>
        <w:t xml:space="preserve"> </w:t>
      </w:r>
      <w:r w:rsidRPr="00D53D86">
        <w:rPr>
          <w:i/>
        </w:rPr>
        <w:t>Faculty of Engineeri</w:t>
      </w:r>
      <w:r w:rsidR="00FB2EBF">
        <w:rPr>
          <w:i/>
        </w:rPr>
        <w:t xml:space="preserve">ng, </w:t>
      </w:r>
      <w:r w:rsidR="00FB2EBF">
        <w:rPr>
          <w:i/>
          <w:szCs w:val="16"/>
        </w:rPr>
        <w:t>University of Kragujevac,</w:t>
      </w:r>
      <w:r w:rsidR="00FB2EBF" w:rsidRPr="00AC0B98">
        <w:rPr>
          <w:i/>
          <w:szCs w:val="16"/>
        </w:rPr>
        <w:t xml:space="preserve"> Kragujevac</w:t>
      </w:r>
      <w:r w:rsidR="00FB2EBF">
        <w:rPr>
          <w:i/>
          <w:szCs w:val="16"/>
        </w:rPr>
        <w:t>, Serbia</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6D64FC0"/>
    <w:lvl w:ilvl="0">
      <w:start w:val="1"/>
      <w:numFmt w:val="decimal"/>
      <w:lvlText w:val="%1."/>
      <w:lvlJc w:val="left"/>
      <w:pPr>
        <w:tabs>
          <w:tab w:val="num" w:pos="1492"/>
        </w:tabs>
        <w:ind w:left="1492" w:hanging="360"/>
      </w:pPr>
    </w:lvl>
  </w:abstractNum>
  <w:abstractNum w:abstractNumId="1">
    <w:nsid w:val="FFFFFF7D"/>
    <w:multiLevelType w:val="singleLevel"/>
    <w:tmpl w:val="45309C2A"/>
    <w:lvl w:ilvl="0">
      <w:start w:val="1"/>
      <w:numFmt w:val="decimal"/>
      <w:lvlText w:val="%1."/>
      <w:lvlJc w:val="left"/>
      <w:pPr>
        <w:tabs>
          <w:tab w:val="num" w:pos="1209"/>
        </w:tabs>
        <w:ind w:left="1209" w:hanging="360"/>
      </w:pPr>
    </w:lvl>
  </w:abstractNum>
  <w:abstractNum w:abstractNumId="2">
    <w:nsid w:val="FFFFFF7E"/>
    <w:multiLevelType w:val="singleLevel"/>
    <w:tmpl w:val="2222C9E0"/>
    <w:lvl w:ilvl="0">
      <w:start w:val="1"/>
      <w:numFmt w:val="decimal"/>
      <w:lvlText w:val="%1."/>
      <w:lvlJc w:val="left"/>
      <w:pPr>
        <w:tabs>
          <w:tab w:val="num" w:pos="926"/>
        </w:tabs>
        <w:ind w:left="926" w:hanging="360"/>
      </w:pPr>
    </w:lvl>
  </w:abstractNum>
  <w:abstractNum w:abstractNumId="3">
    <w:nsid w:val="FFFFFF7F"/>
    <w:multiLevelType w:val="singleLevel"/>
    <w:tmpl w:val="059C82C4"/>
    <w:lvl w:ilvl="0">
      <w:start w:val="1"/>
      <w:numFmt w:val="decimal"/>
      <w:lvlText w:val="%1."/>
      <w:lvlJc w:val="left"/>
      <w:pPr>
        <w:tabs>
          <w:tab w:val="num" w:pos="643"/>
        </w:tabs>
        <w:ind w:left="643" w:hanging="360"/>
      </w:pPr>
    </w:lvl>
  </w:abstractNum>
  <w:abstractNum w:abstractNumId="4">
    <w:nsid w:val="FFFFFF80"/>
    <w:multiLevelType w:val="singleLevel"/>
    <w:tmpl w:val="B52AB09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04494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200881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814F03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670E300"/>
    <w:lvl w:ilvl="0">
      <w:start w:val="1"/>
      <w:numFmt w:val="decimal"/>
      <w:lvlText w:val="%1."/>
      <w:lvlJc w:val="left"/>
      <w:pPr>
        <w:tabs>
          <w:tab w:val="num" w:pos="360"/>
        </w:tabs>
        <w:ind w:left="360" w:hanging="360"/>
      </w:pPr>
    </w:lvl>
  </w:abstractNum>
  <w:abstractNum w:abstractNumId="9">
    <w:nsid w:val="FFFFFF89"/>
    <w:multiLevelType w:val="singleLevel"/>
    <w:tmpl w:val="1ADCEB6C"/>
    <w:lvl w:ilvl="0">
      <w:start w:val="1"/>
      <w:numFmt w:val="bullet"/>
      <w:lvlText w:val=""/>
      <w:lvlJc w:val="left"/>
      <w:pPr>
        <w:tabs>
          <w:tab w:val="num" w:pos="360"/>
        </w:tabs>
        <w:ind w:left="360" w:hanging="360"/>
      </w:pPr>
      <w:rPr>
        <w:rFonts w:ascii="Symbol" w:hAnsi="Symbol" w:hint="default"/>
      </w:rPr>
    </w:lvl>
  </w:abstractNum>
  <w:abstractNum w:abstractNumId="10">
    <w:nsid w:val="06761779"/>
    <w:multiLevelType w:val="hybridMultilevel"/>
    <w:tmpl w:val="41A24266"/>
    <w:lvl w:ilvl="0" w:tplc="B8785CFE">
      <w:start w:val="1"/>
      <w:numFmt w:val="decimal"/>
      <w:pStyle w:val="Orderedlist"/>
      <w:lvlText w:val="%1."/>
      <w:lvlJc w:val="left"/>
      <w:pPr>
        <w:tabs>
          <w:tab w:val="num" w:pos="397"/>
        </w:tabs>
        <w:ind w:left="397" w:hanging="397"/>
      </w:pPr>
      <w:rPr>
        <w:rFonts w:ascii="Arial" w:hAnsi="Arial" w:hint="default"/>
        <w:b w:val="0"/>
        <w:i w:val="0"/>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B85653B"/>
    <w:multiLevelType w:val="hybridMultilevel"/>
    <w:tmpl w:val="51A6B7E0"/>
    <w:lvl w:ilvl="0" w:tplc="BFC688E6">
      <w:start w:val="1"/>
      <w:numFmt w:val="bullet"/>
      <w:pStyle w:val="Unorderedlist"/>
      <w:lvlText w:val=""/>
      <w:lvlJc w:val="left"/>
      <w:pPr>
        <w:tabs>
          <w:tab w:val="num" w:pos="397"/>
        </w:tabs>
        <w:ind w:left="397" w:hanging="397"/>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7F241F"/>
    <w:multiLevelType w:val="singleLevel"/>
    <w:tmpl w:val="CA68A434"/>
    <w:lvl w:ilvl="0">
      <w:start w:val="1"/>
      <w:numFmt w:val="decimal"/>
      <w:pStyle w:val="literatura"/>
      <w:lvlText w:val="[%1]"/>
      <w:lvlJc w:val="left"/>
      <w:pPr>
        <w:tabs>
          <w:tab w:val="num" w:pos="360"/>
        </w:tabs>
        <w:ind w:left="360" w:hanging="360"/>
      </w:pPr>
      <w:rPr>
        <w:rFonts w:ascii="Times New Roman" w:hAnsi="Times New Roman" w:cs="Times New Roman" w:hint="default"/>
        <w:b w:val="0"/>
        <w:i w:val="0"/>
      </w:rPr>
    </w:lvl>
  </w:abstractNum>
  <w:abstractNum w:abstractNumId="13">
    <w:nsid w:val="32F92DAA"/>
    <w:multiLevelType w:val="hybridMultilevel"/>
    <w:tmpl w:val="A1445E0E"/>
    <w:lvl w:ilvl="0" w:tplc="2C703B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E8E1CCB"/>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400D74D5"/>
    <w:multiLevelType w:val="hybridMultilevel"/>
    <w:tmpl w:val="76B6BE82"/>
    <w:lvl w:ilvl="0" w:tplc="5AC834A4">
      <w:start w:val="1"/>
      <w:numFmt w:val="decimal"/>
      <w:pStyle w:val="podnaslov"/>
      <w:lvlText w:val="%1."/>
      <w:lvlJc w:val="left"/>
      <w:pPr>
        <w:tabs>
          <w:tab w:val="num" w:pos="907"/>
        </w:tabs>
        <w:ind w:left="907" w:hanging="453"/>
      </w:pPr>
      <w:rPr>
        <w:rFonts w:ascii="Arial" w:hAnsi="Arial" w:hint="default"/>
        <w:b/>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2241552"/>
    <w:multiLevelType w:val="multilevel"/>
    <w:tmpl w:val="5E4E65B6"/>
    <w:lvl w:ilvl="0">
      <w:start w:val="1"/>
      <w:numFmt w:val="decimal"/>
      <w:lvlText w:val="[%1]."/>
      <w:lvlJc w:val="left"/>
      <w:pPr>
        <w:tabs>
          <w:tab w:val="num" w:pos="397"/>
        </w:tabs>
        <w:ind w:left="397" w:hanging="397"/>
      </w:pPr>
      <w:rPr>
        <w:rFonts w:ascii="Arial" w:hAnsi="Arial"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511F610E"/>
    <w:multiLevelType w:val="hybridMultilevel"/>
    <w:tmpl w:val="BC246C1E"/>
    <w:lvl w:ilvl="0" w:tplc="8A2ACCF8">
      <w:start w:val="1"/>
      <w:numFmt w:val="decimal"/>
      <w:pStyle w:val="References"/>
      <w:lvlText w:val="[%1]"/>
      <w:lvlJc w:val="left"/>
      <w:pPr>
        <w:tabs>
          <w:tab w:val="num" w:pos="397"/>
        </w:tabs>
        <w:ind w:left="397" w:hanging="397"/>
      </w:pPr>
      <w:rPr>
        <w:rFonts w:ascii="Arial" w:hAnsi="Arial" w:hint="default"/>
        <w:b w:val="0"/>
        <w:i w:val="0"/>
        <w:sz w:val="20"/>
        <w:szCs w:val="20"/>
      </w:rPr>
    </w:lvl>
    <w:lvl w:ilvl="1" w:tplc="F9D62720" w:tentative="1">
      <w:start w:val="1"/>
      <w:numFmt w:val="lowerLetter"/>
      <w:lvlText w:val="%2."/>
      <w:lvlJc w:val="left"/>
      <w:pPr>
        <w:tabs>
          <w:tab w:val="num" w:pos="1440"/>
        </w:tabs>
        <w:ind w:left="1440" w:hanging="360"/>
      </w:pPr>
    </w:lvl>
    <w:lvl w:ilvl="2" w:tplc="5DD8AF7E" w:tentative="1">
      <w:start w:val="1"/>
      <w:numFmt w:val="lowerRoman"/>
      <w:lvlText w:val="%3."/>
      <w:lvlJc w:val="right"/>
      <w:pPr>
        <w:tabs>
          <w:tab w:val="num" w:pos="2160"/>
        </w:tabs>
        <w:ind w:left="2160" w:hanging="180"/>
      </w:pPr>
    </w:lvl>
    <w:lvl w:ilvl="3" w:tplc="F2C87F0C" w:tentative="1">
      <w:start w:val="1"/>
      <w:numFmt w:val="decimal"/>
      <w:lvlText w:val="%4."/>
      <w:lvlJc w:val="left"/>
      <w:pPr>
        <w:tabs>
          <w:tab w:val="num" w:pos="2880"/>
        </w:tabs>
        <w:ind w:left="2880" w:hanging="360"/>
      </w:pPr>
    </w:lvl>
    <w:lvl w:ilvl="4" w:tplc="4BE2ACB6" w:tentative="1">
      <w:start w:val="1"/>
      <w:numFmt w:val="lowerLetter"/>
      <w:lvlText w:val="%5."/>
      <w:lvlJc w:val="left"/>
      <w:pPr>
        <w:tabs>
          <w:tab w:val="num" w:pos="3600"/>
        </w:tabs>
        <w:ind w:left="3600" w:hanging="360"/>
      </w:pPr>
    </w:lvl>
    <w:lvl w:ilvl="5" w:tplc="50C619BA" w:tentative="1">
      <w:start w:val="1"/>
      <w:numFmt w:val="lowerRoman"/>
      <w:lvlText w:val="%6."/>
      <w:lvlJc w:val="right"/>
      <w:pPr>
        <w:tabs>
          <w:tab w:val="num" w:pos="4320"/>
        </w:tabs>
        <w:ind w:left="4320" w:hanging="180"/>
      </w:pPr>
    </w:lvl>
    <w:lvl w:ilvl="6" w:tplc="42AE765E" w:tentative="1">
      <w:start w:val="1"/>
      <w:numFmt w:val="decimal"/>
      <w:lvlText w:val="%7."/>
      <w:lvlJc w:val="left"/>
      <w:pPr>
        <w:tabs>
          <w:tab w:val="num" w:pos="5040"/>
        </w:tabs>
        <w:ind w:left="5040" w:hanging="360"/>
      </w:pPr>
    </w:lvl>
    <w:lvl w:ilvl="7" w:tplc="757C7F3C" w:tentative="1">
      <w:start w:val="1"/>
      <w:numFmt w:val="lowerLetter"/>
      <w:lvlText w:val="%8."/>
      <w:lvlJc w:val="left"/>
      <w:pPr>
        <w:tabs>
          <w:tab w:val="num" w:pos="5760"/>
        </w:tabs>
        <w:ind w:left="5760" w:hanging="360"/>
      </w:pPr>
    </w:lvl>
    <w:lvl w:ilvl="8" w:tplc="C0AAAF28" w:tentative="1">
      <w:start w:val="1"/>
      <w:numFmt w:val="lowerRoman"/>
      <w:lvlText w:val="%9."/>
      <w:lvlJc w:val="right"/>
      <w:pPr>
        <w:tabs>
          <w:tab w:val="num" w:pos="6480"/>
        </w:tabs>
        <w:ind w:left="6480" w:hanging="180"/>
      </w:pPr>
    </w:lvl>
  </w:abstractNum>
  <w:num w:numId="1">
    <w:abstractNumId w:val="11"/>
  </w:num>
  <w:num w:numId="2">
    <w:abstractNumId w:val="10"/>
  </w:num>
  <w:num w:numId="3">
    <w:abstractNumId w:val="14"/>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7"/>
  </w:num>
  <w:num w:numId="15">
    <w:abstractNumId w:val="16"/>
  </w:num>
  <w:num w:numId="16">
    <w:abstractNumId w:val="17"/>
    <w:lvlOverride w:ilvl="0">
      <w:startOverride w:val="1"/>
    </w:lvlOverride>
  </w:num>
  <w:num w:numId="17">
    <w:abstractNumId w:val="15"/>
  </w:num>
  <w:num w:numId="18">
    <w:abstractNumId w:val="12"/>
  </w:num>
  <w:num w:numId="1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rsids>
    <w:rsidRoot w:val="000149F6"/>
    <w:rsid w:val="000149F6"/>
    <w:rsid w:val="000214D6"/>
    <w:rsid w:val="00035F38"/>
    <w:rsid w:val="00051B7F"/>
    <w:rsid w:val="000642C6"/>
    <w:rsid w:val="00075DC6"/>
    <w:rsid w:val="000D09E1"/>
    <w:rsid w:val="001153C0"/>
    <w:rsid w:val="00154DDF"/>
    <w:rsid w:val="0017072E"/>
    <w:rsid w:val="001B6C8F"/>
    <w:rsid w:val="001E2CF2"/>
    <w:rsid w:val="002E6A20"/>
    <w:rsid w:val="002E76F5"/>
    <w:rsid w:val="002F096C"/>
    <w:rsid w:val="003729C7"/>
    <w:rsid w:val="003B03AF"/>
    <w:rsid w:val="003B69DA"/>
    <w:rsid w:val="00471ACA"/>
    <w:rsid w:val="00491D8B"/>
    <w:rsid w:val="004D2139"/>
    <w:rsid w:val="00522A2A"/>
    <w:rsid w:val="005A1B3F"/>
    <w:rsid w:val="005C796A"/>
    <w:rsid w:val="006015EE"/>
    <w:rsid w:val="00673FE5"/>
    <w:rsid w:val="00683C44"/>
    <w:rsid w:val="006F7391"/>
    <w:rsid w:val="00760595"/>
    <w:rsid w:val="007A48C9"/>
    <w:rsid w:val="007B693E"/>
    <w:rsid w:val="008031EB"/>
    <w:rsid w:val="00815758"/>
    <w:rsid w:val="00824033"/>
    <w:rsid w:val="008A5FB5"/>
    <w:rsid w:val="008C4AC2"/>
    <w:rsid w:val="008F1C90"/>
    <w:rsid w:val="00914A2E"/>
    <w:rsid w:val="0097163D"/>
    <w:rsid w:val="009C07A5"/>
    <w:rsid w:val="00A47861"/>
    <w:rsid w:val="00A57769"/>
    <w:rsid w:val="00A717EF"/>
    <w:rsid w:val="00A80C91"/>
    <w:rsid w:val="00A90C1B"/>
    <w:rsid w:val="00B268A5"/>
    <w:rsid w:val="00B44415"/>
    <w:rsid w:val="00B53531"/>
    <w:rsid w:val="00B856FE"/>
    <w:rsid w:val="00BB7F00"/>
    <w:rsid w:val="00C966F2"/>
    <w:rsid w:val="00CD54E3"/>
    <w:rsid w:val="00CE2B43"/>
    <w:rsid w:val="00CF318B"/>
    <w:rsid w:val="00D43EED"/>
    <w:rsid w:val="00DA08B6"/>
    <w:rsid w:val="00DE654B"/>
    <w:rsid w:val="00E4455B"/>
    <w:rsid w:val="00EA6A53"/>
    <w:rsid w:val="00ED780C"/>
    <w:rsid w:val="00F05B3E"/>
    <w:rsid w:val="00F818D5"/>
    <w:rsid w:val="00F8476F"/>
    <w:rsid w:val="00F90B6D"/>
    <w:rsid w:val="00FB018C"/>
    <w:rsid w:val="00FB2EBF"/>
    <w:rsid w:val="00FC08C4"/>
    <w:rsid w:val="00FF208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6A20"/>
    <w:rPr>
      <w:sz w:val="24"/>
      <w:szCs w:val="24"/>
      <w:lang w:val="sr-Latn-CS"/>
    </w:rPr>
  </w:style>
  <w:style w:type="paragraph" w:styleId="Heading1">
    <w:name w:val="heading 1"/>
    <w:basedOn w:val="Normal"/>
    <w:next w:val="Normal"/>
    <w:qFormat/>
    <w:rsid w:val="00A57769"/>
    <w:pPr>
      <w:keepNext/>
      <w:spacing w:before="480" w:after="300"/>
      <w:outlineLvl w:val="0"/>
    </w:pPr>
    <w:rPr>
      <w:rFonts w:ascii="Arial" w:hAnsi="Arial" w:cs="Arial"/>
      <w:b/>
      <w:bCs/>
      <w:kern w:val="32"/>
      <w:sz w:val="28"/>
      <w:szCs w:val="32"/>
    </w:rPr>
  </w:style>
  <w:style w:type="paragraph" w:styleId="Heading2">
    <w:name w:val="heading 2"/>
    <w:basedOn w:val="Normal"/>
    <w:next w:val="Normal"/>
    <w:qFormat/>
    <w:rsid w:val="00A57769"/>
    <w:pPr>
      <w:keepNext/>
      <w:spacing w:before="360" w:after="180"/>
      <w:outlineLvl w:val="1"/>
    </w:pPr>
    <w:rPr>
      <w:rFonts w:ascii="Arial" w:hAnsi="Arial" w:cs="Arial"/>
      <w:b/>
      <w:bCs/>
      <w:i/>
      <w:iCs/>
      <w:sz w:val="28"/>
      <w:szCs w:val="28"/>
    </w:rPr>
  </w:style>
  <w:style w:type="paragraph" w:styleId="Heading3">
    <w:name w:val="heading 3"/>
    <w:basedOn w:val="Normal"/>
    <w:next w:val="Normal"/>
    <w:qFormat/>
    <w:rsid w:val="00A57769"/>
    <w:pPr>
      <w:keepNext/>
      <w:spacing w:before="360" w:after="180"/>
      <w:outlineLvl w:val="2"/>
    </w:pPr>
    <w:rPr>
      <w:rFonts w:ascii="Arial" w:hAnsi="Arial" w:cs="Arial"/>
      <w:b/>
      <w:bCs/>
      <w:sz w:val="20"/>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semiHidden/>
    <w:rsid w:val="002E6A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2E6A20"/>
    <w:pPr>
      <w:tabs>
        <w:tab w:val="center" w:pos="4320"/>
        <w:tab w:val="right" w:pos="8640"/>
      </w:tabs>
    </w:pPr>
  </w:style>
  <w:style w:type="paragraph" w:styleId="Footer">
    <w:name w:val="footer"/>
    <w:basedOn w:val="Normal"/>
    <w:rsid w:val="002E6A20"/>
    <w:pPr>
      <w:tabs>
        <w:tab w:val="center" w:pos="4320"/>
        <w:tab w:val="right" w:pos="8640"/>
      </w:tabs>
    </w:pPr>
  </w:style>
  <w:style w:type="character" w:styleId="PageNumber">
    <w:name w:val="page number"/>
    <w:basedOn w:val="DefaultParagraphFont"/>
    <w:rsid w:val="002E6A20"/>
  </w:style>
  <w:style w:type="paragraph" w:styleId="FootnoteText">
    <w:name w:val="footnote text"/>
    <w:basedOn w:val="Normal"/>
    <w:link w:val="FootnoteTextChar"/>
    <w:semiHidden/>
    <w:rsid w:val="00DA08B6"/>
    <w:rPr>
      <w:sz w:val="20"/>
      <w:szCs w:val="20"/>
    </w:rPr>
  </w:style>
  <w:style w:type="character" w:styleId="FootnoteReference">
    <w:name w:val="footnote reference"/>
    <w:basedOn w:val="DefaultParagraphFont"/>
    <w:semiHidden/>
    <w:rsid w:val="00DA08B6"/>
    <w:rPr>
      <w:vertAlign w:val="superscript"/>
    </w:rPr>
  </w:style>
  <w:style w:type="paragraph" w:customStyle="1" w:styleId="PaperNumber">
    <w:name w:val="Paper Number"/>
    <w:basedOn w:val="Normal"/>
    <w:rsid w:val="008C4AC2"/>
    <w:pPr>
      <w:jc w:val="right"/>
    </w:pPr>
    <w:rPr>
      <w:rFonts w:ascii="Arial" w:hAnsi="Arial" w:cs="Arial"/>
      <w:b/>
      <w:sz w:val="36"/>
      <w:szCs w:val="36"/>
      <w:lang w:val="en-GB"/>
    </w:rPr>
  </w:style>
  <w:style w:type="paragraph" w:customStyle="1" w:styleId="Author">
    <w:name w:val="Author"/>
    <w:basedOn w:val="Normal"/>
    <w:link w:val="AuthorChar"/>
    <w:rsid w:val="008C4AC2"/>
    <w:rPr>
      <w:rFonts w:ascii="Arial" w:hAnsi="Arial" w:cs="Arial"/>
      <w:b/>
      <w:sz w:val="28"/>
      <w:szCs w:val="28"/>
      <w:lang w:val="en-GB"/>
    </w:rPr>
  </w:style>
  <w:style w:type="character" w:customStyle="1" w:styleId="AuthorChar">
    <w:name w:val="Author Char"/>
    <w:basedOn w:val="DefaultParagraphFont"/>
    <w:link w:val="Author"/>
    <w:rsid w:val="008C4AC2"/>
    <w:rPr>
      <w:rFonts w:ascii="Arial" w:hAnsi="Arial" w:cs="Arial"/>
      <w:b/>
      <w:sz w:val="28"/>
      <w:szCs w:val="28"/>
      <w:lang w:val="en-GB" w:eastAsia="en-US" w:bidi="ar-SA"/>
    </w:rPr>
  </w:style>
  <w:style w:type="paragraph" w:customStyle="1" w:styleId="PaperTitle">
    <w:name w:val="Paper Title"/>
    <w:basedOn w:val="Normal"/>
    <w:rsid w:val="00914A2E"/>
    <w:pPr>
      <w:jc w:val="center"/>
    </w:pPr>
    <w:rPr>
      <w:rFonts w:ascii="Arial" w:hAnsi="Arial" w:cs="Arial"/>
      <w:b/>
      <w:sz w:val="36"/>
      <w:szCs w:val="36"/>
      <w:lang w:val="en-GB"/>
    </w:rPr>
  </w:style>
  <w:style w:type="paragraph" w:customStyle="1" w:styleId="AbstractandKeywords">
    <w:name w:val="Abstract and Keywords"/>
    <w:basedOn w:val="Normal"/>
    <w:link w:val="AbstractandKeywordsChar"/>
    <w:rsid w:val="00914A2E"/>
    <w:pPr>
      <w:jc w:val="both"/>
    </w:pPr>
    <w:rPr>
      <w:rFonts w:ascii="Arial" w:hAnsi="Arial" w:cs="Arial"/>
      <w:b/>
      <w:lang w:val="en-US"/>
    </w:rPr>
  </w:style>
  <w:style w:type="character" w:customStyle="1" w:styleId="AbstractandKeywordsChar">
    <w:name w:val="Abstract and Keywords Char"/>
    <w:basedOn w:val="DefaultParagraphFont"/>
    <w:link w:val="AbstractandKeywords"/>
    <w:rsid w:val="00914A2E"/>
    <w:rPr>
      <w:rFonts w:ascii="Arial" w:hAnsi="Arial" w:cs="Arial"/>
      <w:b/>
      <w:sz w:val="24"/>
      <w:szCs w:val="24"/>
      <w:lang w:val="en-US" w:eastAsia="en-US" w:bidi="ar-SA"/>
    </w:rPr>
  </w:style>
  <w:style w:type="paragraph" w:customStyle="1" w:styleId="Textbody">
    <w:name w:val="Text body"/>
    <w:basedOn w:val="Normal"/>
    <w:link w:val="TextbodyChar"/>
    <w:rsid w:val="00B44415"/>
    <w:pPr>
      <w:jc w:val="both"/>
    </w:pPr>
    <w:rPr>
      <w:rFonts w:ascii="Arial" w:hAnsi="Arial"/>
      <w:sz w:val="20"/>
    </w:rPr>
  </w:style>
  <w:style w:type="character" w:customStyle="1" w:styleId="TextbodyChar">
    <w:name w:val="Text body Char"/>
    <w:basedOn w:val="DefaultParagraphFont"/>
    <w:link w:val="Textbody"/>
    <w:rsid w:val="00B44415"/>
    <w:rPr>
      <w:rFonts w:ascii="Arial" w:hAnsi="Arial"/>
      <w:szCs w:val="24"/>
      <w:lang w:val="sr-Latn-CS" w:eastAsia="en-US" w:bidi="ar-SA"/>
    </w:rPr>
  </w:style>
  <w:style w:type="paragraph" w:customStyle="1" w:styleId="Keywords">
    <w:name w:val="Keywords"/>
    <w:basedOn w:val="AbstractandKeywords"/>
    <w:link w:val="KeywordsChar"/>
    <w:rsid w:val="00E4455B"/>
    <w:rPr>
      <w:b w:val="0"/>
      <w:i/>
      <w:sz w:val="20"/>
    </w:rPr>
  </w:style>
  <w:style w:type="character" w:customStyle="1" w:styleId="KeywordsChar">
    <w:name w:val="Keywords Char"/>
    <w:basedOn w:val="AbstractandKeywordsChar"/>
    <w:link w:val="Keywords"/>
    <w:rsid w:val="00E4455B"/>
    <w:rPr>
      <w:rFonts w:ascii="Arial" w:hAnsi="Arial" w:cs="Arial"/>
      <w:b/>
      <w:i/>
      <w:sz w:val="24"/>
      <w:szCs w:val="24"/>
      <w:lang w:val="en-US" w:eastAsia="en-US" w:bidi="ar-SA"/>
    </w:rPr>
  </w:style>
  <w:style w:type="paragraph" w:customStyle="1" w:styleId="FootnoteText1">
    <w:name w:val="Footnote Text1"/>
    <w:rsid w:val="00BB7F00"/>
    <w:rPr>
      <w:rFonts w:ascii="Arial" w:hAnsi="Arial"/>
      <w:i/>
      <w:szCs w:val="24"/>
      <w:lang w:val="en-GB"/>
    </w:rPr>
  </w:style>
  <w:style w:type="paragraph" w:customStyle="1" w:styleId="Unorderedlist">
    <w:name w:val="Unordered list"/>
    <w:basedOn w:val="Textbody"/>
    <w:rsid w:val="00C966F2"/>
    <w:pPr>
      <w:numPr>
        <w:numId w:val="1"/>
      </w:numPr>
      <w:ind w:left="794"/>
    </w:pPr>
    <w:rPr>
      <w:lang w:val="en-GB"/>
    </w:rPr>
  </w:style>
  <w:style w:type="paragraph" w:customStyle="1" w:styleId="Orderedlist">
    <w:name w:val="Ordered list"/>
    <w:basedOn w:val="Unorderedlist"/>
    <w:rsid w:val="00C966F2"/>
    <w:pPr>
      <w:numPr>
        <w:numId w:val="2"/>
      </w:numPr>
      <w:ind w:hanging="40"/>
    </w:pPr>
  </w:style>
  <w:style w:type="paragraph" w:customStyle="1" w:styleId="Tabletitle">
    <w:name w:val="Table title"/>
    <w:basedOn w:val="Textbody"/>
    <w:link w:val="TabletitleChar"/>
    <w:rsid w:val="00B44415"/>
    <w:pPr>
      <w:jc w:val="center"/>
    </w:pPr>
    <w:rPr>
      <w:b/>
      <w:i/>
    </w:rPr>
  </w:style>
  <w:style w:type="paragraph" w:customStyle="1" w:styleId="Figuretitle">
    <w:name w:val="Figure title"/>
    <w:basedOn w:val="Textbody"/>
    <w:rsid w:val="006015EE"/>
    <w:pPr>
      <w:jc w:val="center"/>
    </w:pPr>
    <w:rPr>
      <w:rFonts w:cs="Arial"/>
      <w:b/>
      <w:i/>
      <w:lang w:val="en-GB"/>
    </w:rPr>
  </w:style>
  <w:style w:type="paragraph" w:customStyle="1" w:styleId="Body">
    <w:name w:val="Body"/>
    <w:basedOn w:val="Normal"/>
    <w:rsid w:val="006015EE"/>
    <w:pPr>
      <w:spacing w:after="240"/>
      <w:jc w:val="both"/>
    </w:pPr>
    <w:rPr>
      <w:rFonts w:ascii="Helvetica" w:hAnsi="Helvetica"/>
      <w:sz w:val="20"/>
      <w:szCs w:val="20"/>
      <w:lang w:val="en-US"/>
    </w:rPr>
  </w:style>
  <w:style w:type="paragraph" w:customStyle="1" w:styleId="References">
    <w:name w:val="References"/>
    <w:basedOn w:val="Normal"/>
    <w:rsid w:val="006015EE"/>
    <w:pPr>
      <w:numPr>
        <w:numId w:val="14"/>
      </w:numPr>
      <w:jc w:val="both"/>
    </w:pPr>
    <w:rPr>
      <w:rFonts w:ascii="Arial" w:hAnsi="Arial"/>
      <w:sz w:val="20"/>
      <w:lang w:val="en-GB"/>
    </w:rPr>
  </w:style>
  <w:style w:type="paragraph" w:customStyle="1" w:styleId="Tabletitletext">
    <w:name w:val="Table title text"/>
    <w:link w:val="TabletitletextChar"/>
    <w:rsid w:val="007B693E"/>
    <w:pPr>
      <w:jc w:val="center"/>
    </w:pPr>
    <w:rPr>
      <w:rFonts w:ascii="Arial" w:hAnsi="Arial"/>
      <w:i/>
      <w:szCs w:val="24"/>
      <w:lang w:val="sr-Latn-CS"/>
    </w:rPr>
  </w:style>
  <w:style w:type="character" w:customStyle="1" w:styleId="TabletitleChar">
    <w:name w:val="Table title Char"/>
    <w:basedOn w:val="TextbodyChar"/>
    <w:link w:val="Tabletitle"/>
    <w:rsid w:val="007B693E"/>
    <w:rPr>
      <w:rFonts w:ascii="Arial" w:hAnsi="Arial"/>
      <w:b/>
      <w:i/>
      <w:szCs w:val="24"/>
      <w:lang w:val="sr-Latn-CS" w:eastAsia="en-US" w:bidi="ar-SA"/>
    </w:rPr>
  </w:style>
  <w:style w:type="character" w:customStyle="1" w:styleId="TabletitletextChar">
    <w:name w:val="Table title text Char"/>
    <w:basedOn w:val="DefaultParagraphFont"/>
    <w:link w:val="Tabletitletext"/>
    <w:rsid w:val="007B693E"/>
    <w:rPr>
      <w:rFonts w:ascii="Arial" w:hAnsi="Arial"/>
      <w:i/>
      <w:szCs w:val="24"/>
      <w:lang w:val="sr-Latn-CS" w:eastAsia="en-US" w:bidi="ar-SA"/>
    </w:rPr>
  </w:style>
  <w:style w:type="paragraph" w:styleId="BalloonText">
    <w:name w:val="Balloon Text"/>
    <w:basedOn w:val="Normal"/>
    <w:link w:val="BalloonTextChar"/>
    <w:uiPriority w:val="99"/>
    <w:semiHidden/>
    <w:unhideWhenUsed/>
    <w:rsid w:val="00D43EED"/>
    <w:rPr>
      <w:rFonts w:ascii="Tahoma" w:hAnsi="Tahoma" w:cs="Tahoma"/>
      <w:sz w:val="16"/>
      <w:szCs w:val="16"/>
    </w:rPr>
  </w:style>
  <w:style w:type="character" w:customStyle="1" w:styleId="BalloonTextChar">
    <w:name w:val="Balloon Text Char"/>
    <w:basedOn w:val="DefaultParagraphFont"/>
    <w:link w:val="BalloonText"/>
    <w:uiPriority w:val="99"/>
    <w:semiHidden/>
    <w:rsid w:val="00D43EED"/>
    <w:rPr>
      <w:rFonts w:ascii="Tahoma" w:hAnsi="Tahoma" w:cs="Tahoma"/>
      <w:sz w:val="16"/>
      <w:szCs w:val="16"/>
      <w:lang w:val="sr-Latn-CS"/>
    </w:rPr>
  </w:style>
  <w:style w:type="paragraph" w:customStyle="1" w:styleId="naslov">
    <w:name w:val="naslov"/>
    <w:basedOn w:val="Normal"/>
    <w:rsid w:val="00FC08C4"/>
    <w:pPr>
      <w:spacing w:before="240" w:after="120"/>
      <w:jc w:val="center"/>
    </w:pPr>
    <w:rPr>
      <w:rFonts w:ascii="Arial" w:hAnsi="Arial" w:cs="Arial"/>
      <w:b/>
      <w:bCs/>
      <w:lang w:val="sl-SI"/>
    </w:rPr>
  </w:style>
  <w:style w:type="paragraph" w:customStyle="1" w:styleId="fusnota">
    <w:name w:val="fusnota"/>
    <w:basedOn w:val="Normal"/>
    <w:link w:val="fusnotaChar"/>
    <w:rsid w:val="00FC08C4"/>
    <w:pPr>
      <w:jc w:val="both"/>
    </w:pPr>
    <w:rPr>
      <w:rFonts w:ascii="Arial" w:hAnsi="Arial" w:cs="Arial"/>
      <w:sz w:val="16"/>
      <w:szCs w:val="20"/>
      <w:lang w:val="en-US"/>
    </w:rPr>
  </w:style>
  <w:style w:type="character" w:customStyle="1" w:styleId="fusnotaChar">
    <w:name w:val="fusnota Char"/>
    <w:basedOn w:val="DefaultParagraphFont"/>
    <w:link w:val="fusnota"/>
    <w:rsid w:val="00FC08C4"/>
    <w:rPr>
      <w:rFonts w:ascii="Arial" w:hAnsi="Arial" w:cs="Arial"/>
      <w:sz w:val="16"/>
    </w:rPr>
  </w:style>
  <w:style w:type="character" w:customStyle="1" w:styleId="Authorsname">
    <w:name w:val="Authors name"/>
    <w:basedOn w:val="DefaultParagraphFont"/>
    <w:rsid w:val="00FC08C4"/>
    <w:rPr>
      <w:rFonts w:ascii="Times New Roman" w:hAnsi="Times New Roman" w:cs="Times New Roman"/>
      <w:sz w:val="20"/>
    </w:rPr>
  </w:style>
  <w:style w:type="paragraph" w:customStyle="1" w:styleId="rezime">
    <w:name w:val="rezime"/>
    <w:basedOn w:val="Normal"/>
    <w:link w:val="rezimeChar"/>
    <w:rsid w:val="00FC08C4"/>
    <w:pPr>
      <w:jc w:val="both"/>
    </w:pPr>
    <w:rPr>
      <w:rFonts w:ascii="Arial" w:hAnsi="Arial" w:cs="Arial"/>
      <w:i/>
      <w:iCs/>
      <w:sz w:val="20"/>
      <w:lang w:val="sl-SI"/>
    </w:rPr>
  </w:style>
  <w:style w:type="character" w:customStyle="1" w:styleId="rezimeChar">
    <w:name w:val="rezime Char"/>
    <w:basedOn w:val="DefaultParagraphFont"/>
    <w:link w:val="rezime"/>
    <w:rsid w:val="00FC08C4"/>
    <w:rPr>
      <w:rFonts w:ascii="Arial" w:hAnsi="Arial" w:cs="Arial"/>
      <w:i/>
      <w:iCs/>
      <w:szCs w:val="24"/>
      <w:lang w:val="sl-SI"/>
    </w:rPr>
  </w:style>
  <w:style w:type="paragraph" w:customStyle="1" w:styleId="paragraf">
    <w:name w:val="paragraf"/>
    <w:basedOn w:val="Normal"/>
    <w:rsid w:val="00FC08C4"/>
    <w:pPr>
      <w:widowControl w:val="0"/>
      <w:ind w:firstLine="680"/>
      <w:jc w:val="both"/>
    </w:pPr>
    <w:rPr>
      <w:rFonts w:ascii="Arial" w:hAnsi="Arial" w:cs="Arial"/>
      <w:sz w:val="20"/>
      <w:szCs w:val="20"/>
      <w:lang w:val="sl-SI"/>
    </w:rPr>
  </w:style>
  <w:style w:type="paragraph" w:customStyle="1" w:styleId="podnaslov">
    <w:name w:val="podnaslov"/>
    <w:basedOn w:val="Normal"/>
    <w:rsid w:val="00FC08C4"/>
    <w:pPr>
      <w:numPr>
        <w:numId w:val="17"/>
      </w:numPr>
      <w:spacing w:before="120" w:after="120"/>
      <w:jc w:val="both"/>
    </w:pPr>
    <w:rPr>
      <w:rFonts w:ascii="Arial" w:hAnsi="Arial" w:cs="Arial"/>
      <w:b/>
      <w:bCs/>
      <w:sz w:val="20"/>
      <w:lang w:val="sl-SI"/>
    </w:rPr>
  </w:style>
  <w:style w:type="paragraph" w:customStyle="1" w:styleId="literatura">
    <w:name w:val="literatura"/>
    <w:basedOn w:val="Normal"/>
    <w:rsid w:val="00FC08C4"/>
    <w:pPr>
      <w:numPr>
        <w:numId w:val="18"/>
      </w:numPr>
      <w:jc w:val="both"/>
    </w:pPr>
    <w:rPr>
      <w:rFonts w:ascii="Arial" w:hAnsi="Arial" w:cs="Arial"/>
      <w:sz w:val="20"/>
      <w:lang w:val="en-GB"/>
    </w:rPr>
  </w:style>
  <w:style w:type="character" w:customStyle="1" w:styleId="FootnoteTextChar">
    <w:name w:val="Footnote Text Char"/>
    <w:basedOn w:val="DefaultParagraphFont"/>
    <w:link w:val="FootnoteText"/>
    <w:semiHidden/>
    <w:rsid w:val="00B268A5"/>
    <w:rPr>
      <w:lang w:val="sr-Latn-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6A20"/>
    <w:rPr>
      <w:sz w:val="24"/>
      <w:szCs w:val="24"/>
      <w:lang w:val="sr-Latn-CS"/>
    </w:rPr>
  </w:style>
  <w:style w:type="paragraph" w:styleId="Heading1">
    <w:name w:val="heading 1"/>
    <w:basedOn w:val="Normal"/>
    <w:next w:val="Normal"/>
    <w:qFormat/>
    <w:rsid w:val="00A57769"/>
    <w:pPr>
      <w:keepNext/>
      <w:spacing w:before="480" w:after="300"/>
      <w:outlineLvl w:val="0"/>
    </w:pPr>
    <w:rPr>
      <w:rFonts w:ascii="Arial" w:hAnsi="Arial" w:cs="Arial"/>
      <w:b/>
      <w:bCs/>
      <w:kern w:val="32"/>
      <w:sz w:val="28"/>
      <w:szCs w:val="32"/>
    </w:rPr>
  </w:style>
  <w:style w:type="paragraph" w:styleId="Heading2">
    <w:name w:val="heading 2"/>
    <w:basedOn w:val="Normal"/>
    <w:next w:val="Normal"/>
    <w:qFormat/>
    <w:rsid w:val="00A57769"/>
    <w:pPr>
      <w:keepNext/>
      <w:spacing w:before="360" w:after="180"/>
      <w:outlineLvl w:val="1"/>
    </w:pPr>
    <w:rPr>
      <w:rFonts w:ascii="Arial" w:hAnsi="Arial" w:cs="Arial"/>
      <w:b/>
      <w:bCs/>
      <w:i/>
      <w:iCs/>
      <w:sz w:val="28"/>
      <w:szCs w:val="28"/>
    </w:rPr>
  </w:style>
  <w:style w:type="paragraph" w:styleId="Heading3">
    <w:name w:val="heading 3"/>
    <w:basedOn w:val="Normal"/>
    <w:next w:val="Normal"/>
    <w:qFormat/>
    <w:rsid w:val="00A57769"/>
    <w:pPr>
      <w:keepNext/>
      <w:spacing w:before="360" w:after="180"/>
      <w:outlineLvl w:val="2"/>
    </w:pPr>
    <w:rPr>
      <w:rFonts w:ascii="Arial" w:hAnsi="Arial" w:cs="Arial"/>
      <w:b/>
      <w:bCs/>
      <w:sz w:val="20"/>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semiHidden/>
    <w:rsid w:val="002E6A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2E6A20"/>
    <w:pPr>
      <w:tabs>
        <w:tab w:val="center" w:pos="4320"/>
        <w:tab w:val="right" w:pos="8640"/>
      </w:tabs>
    </w:pPr>
  </w:style>
  <w:style w:type="paragraph" w:styleId="Footer">
    <w:name w:val="footer"/>
    <w:basedOn w:val="Normal"/>
    <w:rsid w:val="002E6A20"/>
    <w:pPr>
      <w:tabs>
        <w:tab w:val="center" w:pos="4320"/>
        <w:tab w:val="right" w:pos="8640"/>
      </w:tabs>
    </w:pPr>
  </w:style>
  <w:style w:type="character" w:styleId="PageNumber">
    <w:name w:val="page number"/>
    <w:basedOn w:val="DefaultParagraphFont"/>
    <w:rsid w:val="002E6A20"/>
  </w:style>
  <w:style w:type="paragraph" w:styleId="FootnoteText">
    <w:name w:val="footnote text"/>
    <w:basedOn w:val="Normal"/>
    <w:link w:val="FootnoteTextChar"/>
    <w:semiHidden/>
    <w:rsid w:val="00DA08B6"/>
    <w:rPr>
      <w:sz w:val="20"/>
      <w:szCs w:val="20"/>
    </w:rPr>
  </w:style>
  <w:style w:type="character" w:styleId="FootnoteReference">
    <w:name w:val="footnote reference"/>
    <w:basedOn w:val="DefaultParagraphFont"/>
    <w:semiHidden/>
    <w:rsid w:val="00DA08B6"/>
    <w:rPr>
      <w:vertAlign w:val="superscript"/>
    </w:rPr>
  </w:style>
  <w:style w:type="paragraph" w:customStyle="1" w:styleId="PaperNumber">
    <w:name w:val="Paper Number"/>
    <w:basedOn w:val="Normal"/>
    <w:rsid w:val="008C4AC2"/>
    <w:pPr>
      <w:jc w:val="right"/>
    </w:pPr>
    <w:rPr>
      <w:rFonts w:ascii="Arial" w:hAnsi="Arial" w:cs="Arial"/>
      <w:b/>
      <w:sz w:val="36"/>
      <w:szCs w:val="36"/>
      <w:lang w:val="en-GB"/>
    </w:rPr>
  </w:style>
  <w:style w:type="paragraph" w:customStyle="1" w:styleId="Author">
    <w:name w:val="Author"/>
    <w:basedOn w:val="Normal"/>
    <w:link w:val="AuthorChar"/>
    <w:rsid w:val="008C4AC2"/>
    <w:rPr>
      <w:rFonts w:ascii="Arial" w:hAnsi="Arial" w:cs="Arial"/>
      <w:b/>
      <w:sz w:val="28"/>
      <w:szCs w:val="28"/>
      <w:lang w:val="en-GB"/>
    </w:rPr>
  </w:style>
  <w:style w:type="character" w:customStyle="1" w:styleId="AuthorChar">
    <w:name w:val="Author Char"/>
    <w:basedOn w:val="DefaultParagraphFont"/>
    <w:link w:val="Author"/>
    <w:rsid w:val="008C4AC2"/>
    <w:rPr>
      <w:rFonts w:ascii="Arial" w:hAnsi="Arial" w:cs="Arial"/>
      <w:b/>
      <w:sz w:val="28"/>
      <w:szCs w:val="28"/>
      <w:lang w:val="en-GB" w:eastAsia="en-US" w:bidi="ar-SA"/>
    </w:rPr>
  </w:style>
  <w:style w:type="paragraph" w:customStyle="1" w:styleId="PaperTitle">
    <w:name w:val="Paper Title"/>
    <w:basedOn w:val="Normal"/>
    <w:rsid w:val="00914A2E"/>
    <w:pPr>
      <w:jc w:val="center"/>
    </w:pPr>
    <w:rPr>
      <w:rFonts w:ascii="Arial" w:hAnsi="Arial" w:cs="Arial"/>
      <w:b/>
      <w:sz w:val="36"/>
      <w:szCs w:val="36"/>
      <w:lang w:val="en-GB"/>
    </w:rPr>
  </w:style>
  <w:style w:type="paragraph" w:customStyle="1" w:styleId="AbstractandKeywords">
    <w:name w:val="Abstract and Keywords"/>
    <w:basedOn w:val="Normal"/>
    <w:link w:val="AbstractandKeywordsChar"/>
    <w:rsid w:val="00914A2E"/>
    <w:pPr>
      <w:jc w:val="both"/>
    </w:pPr>
    <w:rPr>
      <w:rFonts w:ascii="Arial" w:hAnsi="Arial" w:cs="Arial"/>
      <w:b/>
      <w:lang w:val="en-US"/>
    </w:rPr>
  </w:style>
  <w:style w:type="character" w:customStyle="1" w:styleId="AbstractandKeywordsChar">
    <w:name w:val="Abstract and Keywords Char"/>
    <w:basedOn w:val="DefaultParagraphFont"/>
    <w:link w:val="AbstractandKeywords"/>
    <w:rsid w:val="00914A2E"/>
    <w:rPr>
      <w:rFonts w:ascii="Arial" w:hAnsi="Arial" w:cs="Arial"/>
      <w:b/>
      <w:sz w:val="24"/>
      <w:szCs w:val="24"/>
      <w:lang w:val="en-US" w:eastAsia="en-US" w:bidi="ar-SA"/>
    </w:rPr>
  </w:style>
  <w:style w:type="paragraph" w:customStyle="1" w:styleId="Textbody">
    <w:name w:val="Text body"/>
    <w:basedOn w:val="Normal"/>
    <w:link w:val="TextbodyChar"/>
    <w:rsid w:val="00B44415"/>
    <w:pPr>
      <w:jc w:val="both"/>
    </w:pPr>
    <w:rPr>
      <w:rFonts w:ascii="Arial" w:hAnsi="Arial"/>
      <w:sz w:val="20"/>
    </w:rPr>
  </w:style>
  <w:style w:type="character" w:customStyle="1" w:styleId="TextbodyChar">
    <w:name w:val="Text body Char"/>
    <w:basedOn w:val="DefaultParagraphFont"/>
    <w:link w:val="Textbody"/>
    <w:rsid w:val="00B44415"/>
    <w:rPr>
      <w:rFonts w:ascii="Arial" w:hAnsi="Arial"/>
      <w:szCs w:val="24"/>
      <w:lang w:val="sr-Latn-CS" w:eastAsia="en-US" w:bidi="ar-SA"/>
    </w:rPr>
  </w:style>
  <w:style w:type="paragraph" w:customStyle="1" w:styleId="Keywords">
    <w:name w:val="Keywords"/>
    <w:basedOn w:val="AbstractandKeywords"/>
    <w:link w:val="KeywordsChar"/>
    <w:rsid w:val="00E4455B"/>
    <w:rPr>
      <w:b w:val="0"/>
      <w:i/>
      <w:sz w:val="20"/>
    </w:rPr>
  </w:style>
  <w:style w:type="character" w:customStyle="1" w:styleId="KeywordsChar">
    <w:name w:val="Keywords Char"/>
    <w:basedOn w:val="AbstractandKeywordsChar"/>
    <w:link w:val="Keywords"/>
    <w:rsid w:val="00E4455B"/>
    <w:rPr>
      <w:rFonts w:ascii="Arial" w:hAnsi="Arial" w:cs="Arial"/>
      <w:b/>
      <w:i/>
      <w:sz w:val="24"/>
      <w:szCs w:val="24"/>
      <w:lang w:val="en-US" w:eastAsia="en-US" w:bidi="ar-SA"/>
    </w:rPr>
  </w:style>
  <w:style w:type="paragraph" w:customStyle="1" w:styleId="FootnoteText1">
    <w:name w:val="Footnote Text1"/>
    <w:rsid w:val="00BB7F00"/>
    <w:rPr>
      <w:rFonts w:ascii="Arial" w:hAnsi="Arial"/>
      <w:i/>
      <w:szCs w:val="24"/>
      <w:lang w:val="en-GB"/>
    </w:rPr>
  </w:style>
  <w:style w:type="paragraph" w:customStyle="1" w:styleId="Unorderedlist">
    <w:name w:val="Unordered list"/>
    <w:basedOn w:val="Textbody"/>
    <w:rsid w:val="00C966F2"/>
    <w:pPr>
      <w:numPr>
        <w:numId w:val="1"/>
      </w:numPr>
      <w:ind w:left="794"/>
    </w:pPr>
    <w:rPr>
      <w:lang w:val="en-GB"/>
    </w:rPr>
  </w:style>
  <w:style w:type="paragraph" w:customStyle="1" w:styleId="Orderedlist">
    <w:name w:val="Ordered list"/>
    <w:basedOn w:val="Unorderedlist"/>
    <w:rsid w:val="00C966F2"/>
    <w:pPr>
      <w:numPr>
        <w:numId w:val="2"/>
      </w:numPr>
      <w:ind w:hanging="40"/>
    </w:pPr>
  </w:style>
  <w:style w:type="paragraph" w:customStyle="1" w:styleId="Tabletitle">
    <w:name w:val="Table title"/>
    <w:basedOn w:val="Textbody"/>
    <w:link w:val="TabletitleChar"/>
    <w:rsid w:val="00B44415"/>
    <w:pPr>
      <w:jc w:val="center"/>
    </w:pPr>
    <w:rPr>
      <w:b/>
      <w:i/>
    </w:rPr>
  </w:style>
  <w:style w:type="paragraph" w:customStyle="1" w:styleId="Figuretitle">
    <w:name w:val="Figure title"/>
    <w:basedOn w:val="Textbody"/>
    <w:rsid w:val="006015EE"/>
    <w:pPr>
      <w:jc w:val="center"/>
    </w:pPr>
    <w:rPr>
      <w:rFonts w:cs="Arial"/>
      <w:b/>
      <w:i/>
      <w:lang w:val="en-GB"/>
    </w:rPr>
  </w:style>
  <w:style w:type="paragraph" w:customStyle="1" w:styleId="Body">
    <w:name w:val="Body"/>
    <w:basedOn w:val="Normal"/>
    <w:rsid w:val="006015EE"/>
    <w:pPr>
      <w:spacing w:after="240"/>
      <w:jc w:val="both"/>
    </w:pPr>
    <w:rPr>
      <w:rFonts w:ascii="Helvetica" w:hAnsi="Helvetica"/>
      <w:sz w:val="20"/>
      <w:szCs w:val="20"/>
      <w:lang w:val="en-US"/>
    </w:rPr>
  </w:style>
  <w:style w:type="paragraph" w:customStyle="1" w:styleId="References">
    <w:name w:val="References"/>
    <w:basedOn w:val="Normal"/>
    <w:rsid w:val="006015EE"/>
    <w:pPr>
      <w:numPr>
        <w:numId w:val="14"/>
      </w:numPr>
      <w:jc w:val="both"/>
    </w:pPr>
    <w:rPr>
      <w:rFonts w:ascii="Arial" w:hAnsi="Arial"/>
      <w:sz w:val="20"/>
      <w:lang w:val="en-GB"/>
    </w:rPr>
  </w:style>
  <w:style w:type="paragraph" w:customStyle="1" w:styleId="Tabletitletext">
    <w:name w:val="Table title text"/>
    <w:link w:val="TabletitletextChar"/>
    <w:rsid w:val="007B693E"/>
    <w:pPr>
      <w:jc w:val="center"/>
    </w:pPr>
    <w:rPr>
      <w:rFonts w:ascii="Arial" w:hAnsi="Arial"/>
      <w:i/>
      <w:szCs w:val="24"/>
      <w:lang w:val="sr-Latn-CS"/>
    </w:rPr>
  </w:style>
  <w:style w:type="character" w:customStyle="1" w:styleId="TabletitleChar">
    <w:name w:val="Table title Char"/>
    <w:basedOn w:val="TextbodyChar"/>
    <w:link w:val="Tabletitle"/>
    <w:rsid w:val="007B693E"/>
    <w:rPr>
      <w:rFonts w:ascii="Arial" w:hAnsi="Arial"/>
      <w:b/>
      <w:i/>
      <w:szCs w:val="24"/>
      <w:lang w:val="sr-Latn-CS" w:eastAsia="en-US" w:bidi="ar-SA"/>
    </w:rPr>
  </w:style>
  <w:style w:type="character" w:customStyle="1" w:styleId="TabletitletextChar">
    <w:name w:val="Table title text Char"/>
    <w:basedOn w:val="DefaultParagraphFont"/>
    <w:link w:val="Tabletitletext"/>
    <w:rsid w:val="007B693E"/>
    <w:rPr>
      <w:rFonts w:ascii="Arial" w:hAnsi="Arial"/>
      <w:i/>
      <w:szCs w:val="24"/>
      <w:lang w:val="sr-Latn-CS" w:eastAsia="en-US" w:bidi="ar-SA"/>
    </w:rPr>
  </w:style>
  <w:style w:type="paragraph" w:styleId="BalloonText">
    <w:name w:val="Balloon Text"/>
    <w:basedOn w:val="Normal"/>
    <w:link w:val="BalloonTextChar"/>
    <w:uiPriority w:val="99"/>
    <w:semiHidden/>
    <w:unhideWhenUsed/>
    <w:rsid w:val="00D43EED"/>
    <w:rPr>
      <w:rFonts w:ascii="Tahoma" w:hAnsi="Tahoma" w:cs="Tahoma"/>
      <w:sz w:val="16"/>
      <w:szCs w:val="16"/>
    </w:rPr>
  </w:style>
  <w:style w:type="character" w:customStyle="1" w:styleId="BalloonTextChar">
    <w:name w:val="Balloon Text Char"/>
    <w:basedOn w:val="DefaultParagraphFont"/>
    <w:link w:val="BalloonText"/>
    <w:uiPriority w:val="99"/>
    <w:semiHidden/>
    <w:rsid w:val="00D43EED"/>
    <w:rPr>
      <w:rFonts w:ascii="Tahoma" w:hAnsi="Tahoma" w:cs="Tahoma"/>
      <w:sz w:val="16"/>
      <w:szCs w:val="16"/>
      <w:lang w:val="sr-Latn-CS"/>
    </w:rPr>
  </w:style>
  <w:style w:type="paragraph" w:customStyle="1" w:styleId="naslov">
    <w:name w:val="naslov"/>
    <w:basedOn w:val="Normal"/>
    <w:rsid w:val="00FC08C4"/>
    <w:pPr>
      <w:spacing w:before="240" w:after="120"/>
      <w:jc w:val="center"/>
    </w:pPr>
    <w:rPr>
      <w:rFonts w:ascii="Arial" w:hAnsi="Arial" w:cs="Arial"/>
      <w:b/>
      <w:bCs/>
      <w:lang w:val="sl-SI"/>
    </w:rPr>
  </w:style>
  <w:style w:type="paragraph" w:customStyle="1" w:styleId="fusnota">
    <w:name w:val="fusnota"/>
    <w:basedOn w:val="Normal"/>
    <w:link w:val="fusnotaChar"/>
    <w:rsid w:val="00FC08C4"/>
    <w:pPr>
      <w:jc w:val="both"/>
    </w:pPr>
    <w:rPr>
      <w:rFonts w:ascii="Arial" w:hAnsi="Arial" w:cs="Arial"/>
      <w:sz w:val="16"/>
      <w:szCs w:val="20"/>
      <w:lang w:val="en-US"/>
    </w:rPr>
  </w:style>
  <w:style w:type="character" w:customStyle="1" w:styleId="fusnotaChar">
    <w:name w:val="fusnota Char"/>
    <w:basedOn w:val="DefaultParagraphFont"/>
    <w:link w:val="fusnota"/>
    <w:rsid w:val="00FC08C4"/>
    <w:rPr>
      <w:rFonts w:ascii="Arial" w:hAnsi="Arial" w:cs="Arial"/>
      <w:sz w:val="16"/>
    </w:rPr>
  </w:style>
  <w:style w:type="character" w:customStyle="1" w:styleId="Authorsname">
    <w:name w:val="Authors name"/>
    <w:basedOn w:val="DefaultParagraphFont"/>
    <w:rsid w:val="00FC08C4"/>
    <w:rPr>
      <w:rFonts w:ascii="Times New Roman" w:hAnsi="Times New Roman" w:cs="Times New Roman"/>
      <w:sz w:val="20"/>
    </w:rPr>
  </w:style>
  <w:style w:type="paragraph" w:customStyle="1" w:styleId="rezime">
    <w:name w:val="rezime"/>
    <w:basedOn w:val="Normal"/>
    <w:link w:val="rezimeChar"/>
    <w:rsid w:val="00FC08C4"/>
    <w:pPr>
      <w:jc w:val="both"/>
    </w:pPr>
    <w:rPr>
      <w:rFonts w:ascii="Arial" w:hAnsi="Arial" w:cs="Arial"/>
      <w:i/>
      <w:iCs/>
      <w:sz w:val="20"/>
      <w:lang w:val="sl-SI"/>
    </w:rPr>
  </w:style>
  <w:style w:type="character" w:customStyle="1" w:styleId="rezimeChar">
    <w:name w:val="rezime Char"/>
    <w:basedOn w:val="DefaultParagraphFont"/>
    <w:link w:val="rezime"/>
    <w:rsid w:val="00FC08C4"/>
    <w:rPr>
      <w:rFonts w:ascii="Arial" w:hAnsi="Arial" w:cs="Arial"/>
      <w:i/>
      <w:iCs/>
      <w:szCs w:val="24"/>
      <w:lang w:val="sl-SI"/>
    </w:rPr>
  </w:style>
  <w:style w:type="paragraph" w:customStyle="1" w:styleId="paragraf">
    <w:name w:val="paragraf"/>
    <w:basedOn w:val="Normal"/>
    <w:rsid w:val="00FC08C4"/>
    <w:pPr>
      <w:widowControl w:val="0"/>
      <w:ind w:firstLine="680"/>
      <w:jc w:val="both"/>
    </w:pPr>
    <w:rPr>
      <w:rFonts w:ascii="Arial" w:hAnsi="Arial" w:cs="Arial"/>
      <w:sz w:val="20"/>
      <w:szCs w:val="20"/>
      <w:lang w:val="sl-SI"/>
    </w:rPr>
  </w:style>
  <w:style w:type="paragraph" w:customStyle="1" w:styleId="podnaslov">
    <w:name w:val="podnaslov"/>
    <w:basedOn w:val="Normal"/>
    <w:rsid w:val="00FC08C4"/>
    <w:pPr>
      <w:numPr>
        <w:numId w:val="17"/>
      </w:numPr>
      <w:spacing w:before="120" w:after="120"/>
      <w:jc w:val="both"/>
    </w:pPr>
    <w:rPr>
      <w:rFonts w:ascii="Arial" w:hAnsi="Arial" w:cs="Arial"/>
      <w:b/>
      <w:bCs/>
      <w:sz w:val="20"/>
      <w:lang w:val="sl-SI"/>
    </w:rPr>
  </w:style>
  <w:style w:type="paragraph" w:customStyle="1" w:styleId="literatura">
    <w:name w:val="literatura"/>
    <w:basedOn w:val="Normal"/>
    <w:rsid w:val="00FC08C4"/>
    <w:pPr>
      <w:numPr>
        <w:numId w:val="18"/>
      </w:numPr>
      <w:jc w:val="both"/>
    </w:pPr>
    <w:rPr>
      <w:rFonts w:ascii="Arial" w:hAnsi="Arial" w:cs="Arial"/>
      <w:sz w:val="20"/>
      <w:lang w:val="en-GB"/>
    </w:rPr>
  </w:style>
  <w:style w:type="character" w:customStyle="1" w:styleId="FootnoteTextChar">
    <w:name w:val="Footnote Text Char"/>
    <w:basedOn w:val="DefaultParagraphFont"/>
    <w:link w:val="FootnoteText"/>
    <w:semiHidden/>
    <w:rsid w:val="00B268A5"/>
    <w:rPr>
      <w:lang w:val="sr-Latn-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G:\MVM%20%202014.KONGRES\MVM%202014.a.%20kongres\MVM.2014.%20uz%20PRVO%20obavrstenje%20potencijalnim%20autorima\MVM2012-Paper%20template%2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47F8AE-50D3-4E11-87B7-54437EFEB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MVM2012-Paper template (1)</Template>
  <TotalTime>14</TotalTime>
  <Pages>4</Pages>
  <Words>2562</Words>
  <Characters>14607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MVM2010 Paper template</vt:lpstr>
    </vt:vector>
  </TitlesOfParts>
  <Company>FME Kragujevac</Company>
  <LinksUpToDate>false</LinksUpToDate>
  <CharactersWithSpaces>17135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MVM2010 Paper template</dc:title>
  <dc:creator>Name</dc:creator>
  <cp:lastModifiedBy>Name</cp:lastModifiedBy>
  <cp:revision>9</cp:revision>
  <cp:lastPrinted>1900-12-31T22:00:00Z</cp:lastPrinted>
  <dcterms:created xsi:type="dcterms:W3CDTF">2014-10-02T06:29:00Z</dcterms:created>
  <dcterms:modified xsi:type="dcterms:W3CDTF">2014-10-02T09:29:00Z</dcterms:modified>
</cp:coreProperties>
</file>